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header7.xml" ContentType="application/vnd.openxmlformats-officedocument.wordprocessingml.header+xml"/>
  <Override PartName="/word/header4.xml" ContentType="application/vnd.openxmlformats-officedocument.wordprocessingml.header+xml"/>
  <Override PartName="/word/header3.xml" ContentType="application/vnd.openxmlformats-officedocument.wordprocessingml.head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header5.xml" ContentType="application/vnd.openxmlformats-officedocument.wordprocessingml.header+xml"/>
  <Override PartName="/word/styles.xml" ContentType="application/vnd.openxmlformats-officedocument.wordprocessingml.styles+xml"/>
  <Override PartName="/word/header6.xml" ContentType="application/vnd.openxmlformats-officedocument.wordprocessingml.header+xml"/>
  <Override PartName="/word/numbering.xml" ContentType="application/vnd.openxmlformats-officedocument.wordprocessingml.numbering+xml"/>
  <Override PartName="/word/document.xml" ContentType="application/vnd.openxmlformats-officedocument.wordprocessingml.document.main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 w:val="false"/>
        <w:tabs>
          <w:tab w:val="clear" w:pos="708"/>
          <w:tab w:val="left" w:pos="426" w:leader="none"/>
        </w:tabs>
        <w:spacing w:before="120" w:after="120"/>
        <w:jc w:val="both"/>
        <w:rPr>
          <w:rStyle w:val="Style8"/>
          <w:b w:val="false"/>
          <w:sz w:val="26"/>
          <w:szCs w:val="26"/>
        </w:rPr>
      </w:pPr>
      <w:r>
        <w:rPr>
          <w:b w:val="false"/>
          <w:sz w:val="26"/>
          <w:szCs w:val="26"/>
        </w:rPr>
      </w:r>
    </w:p>
    <w:p>
      <w:pPr>
        <w:pStyle w:val="Normal"/>
        <w:widowControl w:val="false"/>
        <w:tabs>
          <w:tab w:val="clear" w:pos="708"/>
          <w:tab w:val="left" w:pos="426" w:leader="none"/>
        </w:tabs>
        <w:spacing w:before="120" w:after="120"/>
        <w:jc w:val="both"/>
        <w:rPr>
          <w:rStyle w:val="Style8"/>
          <w:b w:val="false"/>
          <w:sz w:val="26"/>
          <w:szCs w:val="26"/>
        </w:rPr>
      </w:pPr>
      <w:r>
        <w:rPr>
          <w:b w:val="false"/>
          <w:sz w:val="26"/>
          <w:szCs w:val="26"/>
        </w:rPr>
      </w:r>
    </w:p>
    <w:p>
      <w:pPr>
        <w:pStyle w:val="Normal"/>
        <w:widowControl w:val="false"/>
        <w:tabs>
          <w:tab w:val="clear" w:pos="708"/>
          <w:tab w:val="left" w:pos="426" w:leader="none"/>
        </w:tabs>
        <w:spacing w:before="120" w:after="120"/>
        <w:jc w:val="both"/>
        <w:rPr>
          <w:rStyle w:val="Style8"/>
          <w:b w:val="false"/>
          <w:sz w:val="26"/>
          <w:szCs w:val="26"/>
        </w:rPr>
      </w:pPr>
      <w:r>
        <w:rPr>
          <w:b w:val="false"/>
          <w:sz w:val="26"/>
          <w:szCs w:val="26"/>
        </w:rPr>
      </w:r>
    </w:p>
    <w:p>
      <w:pPr>
        <w:pStyle w:val="Normal"/>
        <w:widowControl w:val="false"/>
        <w:tabs>
          <w:tab w:val="clear" w:pos="708"/>
          <w:tab w:val="left" w:pos="426" w:leader="none"/>
        </w:tabs>
        <w:spacing w:before="120" w:after="120"/>
        <w:jc w:val="both"/>
        <w:rPr>
          <w:rStyle w:val="Style8"/>
          <w:b w:val="false"/>
          <w:sz w:val="26"/>
          <w:szCs w:val="26"/>
        </w:rPr>
      </w:pPr>
      <w:r>
        <w:rPr>
          <w:b w:val="false"/>
          <w:sz w:val="26"/>
          <w:szCs w:val="26"/>
        </w:rPr>
      </w:r>
    </w:p>
    <w:p>
      <w:pPr>
        <w:pStyle w:val="Normal"/>
        <w:widowControl w:val="false"/>
        <w:tabs>
          <w:tab w:val="clear" w:pos="708"/>
          <w:tab w:val="left" w:pos="426" w:leader="none"/>
        </w:tabs>
        <w:spacing w:before="120" w:after="120"/>
        <w:jc w:val="both"/>
        <w:rPr>
          <w:rStyle w:val="Style8"/>
          <w:b w:val="false"/>
          <w:sz w:val="26"/>
          <w:szCs w:val="26"/>
        </w:rPr>
      </w:pPr>
      <w:r>
        <w:rPr>
          <w:b w:val="false"/>
          <w:sz w:val="26"/>
          <w:szCs w:val="26"/>
        </w:rPr>
      </w:r>
    </w:p>
    <w:p>
      <w:pPr>
        <w:pStyle w:val="Normal"/>
        <w:widowControl w:val="false"/>
        <w:tabs>
          <w:tab w:val="clear" w:pos="708"/>
          <w:tab w:val="left" w:pos="426" w:leader="none"/>
        </w:tabs>
        <w:spacing w:before="120" w:after="120"/>
        <w:jc w:val="both"/>
        <w:rPr>
          <w:rStyle w:val="Style8"/>
          <w:b w:val="false"/>
          <w:sz w:val="26"/>
          <w:szCs w:val="26"/>
        </w:rPr>
      </w:pPr>
      <w:r>
        <w:rPr>
          <w:b w:val="false"/>
          <w:sz w:val="26"/>
          <w:szCs w:val="26"/>
        </w:rPr>
      </w:r>
    </w:p>
    <w:p>
      <w:pPr>
        <w:pStyle w:val="Normal"/>
        <w:widowControl w:val="false"/>
        <w:tabs>
          <w:tab w:val="clear" w:pos="708"/>
          <w:tab w:val="left" w:pos="426" w:leader="none"/>
        </w:tabs>
        <w:spacing w:before="120" w:after="120"/>
        <w:jc w:val="both"/>
        <w:rPr>
          <w:rStyle w:val="Style8"/>
          <w:b w:val="false"/>
          <w:sz w:val="26"/>
          <w:szCs w:val="26"/>
        </w:rPr>
      </w:pPr>
      <w:r>
        <w:rPr>
          <w:b w:val="false"/>
          <w:sz w:val="26"/>
          <w:szCs w:val="26"/>
        </w:rPr>
      </w:r>
    </w:p>
    <w:p>
      <w:pPr>
        <w:pStyle w:val="Normal"/>
        <w:widowControl w:val="false"/>
        <w:tabs>
          <w:tab w:val="clear" w:pos="708"/>
          <w:tab w:val="left" w:pos="426" w:leader="none"/>
        </w:tabs>
        <w:spacing w:before="120" w:after="120"/>
        <w:jc w:val="both"/>
        <w:rPr>
          <w:rStyle w:val="Style8"/>
          <w:b w:val="false"/>
          <w:sz w:val="26"/>
          <w:szCs w:val="26"/>
        </w:rPr>
      </w:pPr>
      <w:r>
        <w:rPr>
          <w:b w:val="false"/>
          <w:sz w:val="26"/>
          <w:szCs w:val="26"/>
        </w:rPr>
      </w:r>
    </w:p>
    <w:p>
      <w:pPr>
        <w:pStyle w:val="Normal"/>
        <w:widowControl w:val="false"/>
        <w:tabs>
          <w:tab w:val="clear" w:pos="708"/>
          <w:tab w:val="left" w:pos="426" w:leader="none"/>
        </w:tabs>
        <w:spacing w:before="120" w:after="120"/>
        <w:jc w:val="both"/>
        <w:rPr>
          <w:rStyle w:val="Style8"/>
          <w:b w:val="false"/>
          <w:sz w:val="26"/>
          <w:szCs w:val="26"/>
        </w:rPr>
      </w:pPr>
      <w:r>
        <w:rPr>
          <w:b w:val="false"/>
          <w:sz w:val="26"/>
          <w:szCs w:val="26"/>
        </w:rPr>
      </w:r>
    </w:p>
    <w:p>
      <w:pPr>
        <w:pStyle w:val="Normal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Технические требования </w:t>
      </w:r>
    </w:p>
    <w:p>
      <w:pPr>
        <w:pStyle w:val="Normal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</w:r>
    </w:p>
    <w:p>
      <w:pPr>
        <w:pStyle w:val="Normal"/>
        <w:ind w:firstLine="317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ОКПД2 </w:t>
      </w:r>
      <w:r>
        <w:rPr>
          <w:sz w:val="24"/>
          <w:szCs w:val="24"/>
        </w:rPr>
        <w:t>71.20.19.190</w:t>
      </w:r>
      <w:r>
        <w:rPr>
          <w:sz w:val="26"/>
          <w:szCs w:val="26"/>
        </w:rPr>
        <w:t xml:space="preserve"> Обследование водосливной плотины и здания ГЭС Новосибирской ГЭС в части закладных частей затворов</w:t>
      </w:r>
    </w:p>
    <w:p>
      <w:pPr>
        <w:pStyle w:val="Normal"/>
        <w:ind w:firstLine="317"/>
        <w:jc w:val="center"/>
        <w:rPr>
          <w:sz w:val="26"/>
          <w:szCs w:val="26"/>
        </w:rPr>
      </w:pPr>
      <w:r>
        <w:rPr>
          <w:sz w:val="26"/>
          <w:szCs w:val="26"/>
        </w:rPr>
        <w:t>Лот №3-НИР-2026-НовГЭС</w:t>
      </w:r>
    </w:p>
    <w:p>
      <w:pPr>
        <w:pStyle w:val="Normal"/>
        <w:ind w:firstLine="317"/>
        <w:jc w:val="center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ind w:firstLine="317"/>
        <w:jc w:val="center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ind w:firstLine="317"/>
        <w:jc w:val="center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ind w:firstLine="317"/>
        <w:jc w:val="center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ind w:firstLine="317"/>
        <w:jc w:val="center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ind w:firstLine="317"/>
        <w:jc w:val="center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ind w:firstLine="317"/>
        <w:jc w:val="center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ind w:firstLine="317"/>
        <w:jc w:val="center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ind w:firstLine="317"/>
        <w:jc w:val="center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ind w:firstLine="317"/>
        <w:jc w:val="center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ind w:firstLine="317"/>
        <w:jc w:val="center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ind w:firstLine="317"/>
        <w:jc w:val="center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ind w:firstLine="317"/>
        <w:jc w:val="center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ind w:firstLine="317"/>
        <w:jc w:val="center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ind w:firstLine="317"/>
        <w:jc w:val="center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ind w:firstLine="317"/>
        <w:jc w:val="center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ind w:firstLine="317"/>
        <w:jc w:val="center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ind w:firstLine="317"/>
        <w:jc w:val="center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ind w:firstLine="317"/>
        <w:jc w:val="center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ind w:firstLine="317"/>
        <w:jc w:val="center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ind w:firstLine="317"/>
        <w:jc w:val="center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ind w:firstLine="317"/>
        <w:jc w:val="center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ind w:firstLine="317"/>
        <w:jc w:val="center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ind w:firstLine="317"/>
        <w:jc w:val="center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ind w:firstLine="317"/>
        <w:jc w:val="center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ind w:firstLine="317"/>
        <w:jc w:val="center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ind w:firstLine="317"/>
        <w:jc w:val="center"/>
        <w:rPr>
          <w:sz w:val="24"/>
          <w:szCs w:val="24"/>
        </w:rPr>
      </w:pPr>
      <w:r>
        <w:rPr>
          <w:sz w:val="24"/>
          <w:szCs w:val="24"/>
        </w:rPr>
        <w:t>Новосибирск 2026</w:t>
      </w:r>
    </w:p>
    <w:p>
      <w:pPr>
        <w:pStyle w:val="Heading4"/>
        <w:numPr>
          <w:ilvl w:val="1"/>
          <w:numId w:val="3"/>
        </w:numPr>
        <w:ind w:left="432" w:hanging="432"/>
        <w:rPr>
          <w:szCs w:val="22"/>
        </w:rPr>
      </w:pPr>
      <w:r>
        <w:rPr>
          <w:lang w:val="ru-RU"/>
        </w:rPr>
        <w:t>Наименование закупаемой продукции:</w:t>
      </w:r>
    </w:p>
    <w:p>
      <w:pPr>
        <w:pStyle w:val="Heading4"/>
        <w:numPr>
          <w:ilvl w:val="1"/>
          <w:numId w:val="3"/>
        </w:numPr>
        <w:ind w:left="432" w:hanging="432"/>
        <w:rPr>
          <w:rFonts w:eastAsia="Times New Roman"/>
          <w:lang w:val="ru-RU" w:eastAsia="ru-RU"/>
        </w:rPr>
      </w:pPr>
      <w:r>
        <w:rPr/>
        <w:t xml:space="preserve"> </w:t>
      </w:r>
      <w:r>
        <w:rPr>
          <w:rFonts w:eastAsia="Times New Roman"/>
          <w:b w:val="false"/>
          <w:bCs w:val="false"/>
          <w:lang w:val="ru-RU" w:eastAsia="ru-RU"/>
        </w:rPr>
        <w:t>Обследование водосливной плотины и здания ГЭС Новосибирской ГЭС в части закладных частей затворов</w:t>
      </w:r>
      <w:r>
        <w:rPr>
          <w:rFonts w:eastAsia="Times New Roman"/>
          <w:lang w:val="ru-RU" w:eastAsia="ru-RU"/>
        </w:rPr>
        <w:t>.</w:t>
      </w:r>
    </w:p>
    <w:p>
      <w:pPr>
        <w:pStyle w:val="Heading4"/>
        <w:numPr>
          <w:ilvl w:val="1"/>
          <w:numId w:val="3"/>
        </w:numPr>
        <w:ind w:left="432" w:hanging="432"/>
        <w:rPr/>
      </w:pPr>
      <w:r>
        <w:rPr/>
        <w:t>Наименование и место расположения функционального заказчика</w:t>
      </w:r>
      <w:r>
        <w:rPr>
          <w:lang w:val="ru-RU"/>
        </w:rPr>
        <w:t>:</w:t>
      </w:r>
    </w:p>
    <w:p>
      <w:pPr>
        <w:pStyle w:val="Heading4"/>
        <w:numPr>
          <w:ilvl w:val="0"/>
        </w:numPr>
        <w:tabs>
          <w:tab w:val="clear" w:pos="0"/>
        </w:tabs>
        <w:ind w:left="432" w:hanging="0"/>
        <w:rPr>
          <w:b w:val="false"/>
        </w:rPr>
      </w:pPr>
      <w:r>
        <w:rPr>
          <w:b w:val="false"/>
        </w:rPr>
        <w:t>Публичное акционерное общество «Федеральная гидрогенерирующая компания – РусГидро» для нужд филиала ПАО «РусГидро» - «Новосибирская ГЭС», Российская Федерация 630056, город Новосибирск, улица Новоморская, д. 4.</w:t>
      </w:r>
    </w:p>
    <w:p>
      <w:pPr>
        <w:pStyle w:val="Heading4"/>
        <w:numPr>
          <w:ilvl w:val="1"/>
          <w:numId w:val="3"/>
        </w:numPr>
        <w:ind w:left="432" w:hanging="432"/>
        <w:rPr>
          <w:lang w:val="ru-RU"/>
        </w:rPr>
      </w:pPr>
      <w:r>
        <w:rPr/>
        <w:t xml:space="preserve">Информация в отношении исполнения договора, которая должна быть учтена при подготовке заявки (в том числе перечень ресурсов, услуг и документов, предоставляемых </w:t>
      </w:r>
      <w:r>
        <w:rPr>
          <w:lang w:val="ru-RU"/>
        </w:rPr>
        <w:t>заказчиком</w:t>
      </w:r>
      <w:r>
        <w:rPr/>
        <w:t xml:space="preserve"> на этапе исполнения договора</w:t>
      </w:r>
      <w:r>
        <w:rPr>
          <w:lang w:val="ru-RU"/>
        </w:rPr>
        <w:t>):</w:t>
      </w:r>
    </w:p>
    <w:p>
      <w:pPr>
        <w:pStyle w:val="Heading3"/>
        <w:numPr>
          <w:ilvl w:val="2"/>
          <w:numId w:val="3"/>
        </w:numPr>
        <w:rPr/>
      </w:pPr>
      <w:r>
        <w:rPr/>
        <w:t>Заказчик предоставляет</w:t>
      </w:r>
      <w:r>
        <w:rPr>
          <w:lang w:val="ru-RU"/>
        </w:rPr>
        <w:t xml:space="preserve"> исполнителю</w:t>
      </w:r>
      <w:r>
        <w:rPr/>
        <w:t xml:space="preserve">: </w:t>
      </w:r>
    </w:p>
    <w:p>
      <w:pPr>
        <w:pStyle w:val="ListParagraph"/>
        <w:numPr>
          <w:ilvl w:val="0"/>
          <w:numId w:val="7"/>
        </w:numPr>
        <w:rPr>
          <w:iCs/>
        </w:rPr>
      </w:pPr>
      <w:r>
        <w:rPr>
          <w:iCs/>
        </w:rPr>
        <w:t>Электроэнергию (для выполнения зарядки аккумуляторных батарей электроинструмента) на безвозмездной основе.</w:t>
      </w:r>
    </w:p>
    <w:p>
      <w:pPr>
        <w:pStyle w:val="Heading1"/>
        <w:numPr>
          <w:ilvl w:val="0"/>
          <w:numId w:val="3"/>
        </w:numPr>
        <w:ind w:left="0" w:hanging="0"/>
        <w:rPr>
          <w:caps/>
        </w:rPr>
      </w:pPr>
      <w:r>
        <w:rPr>
          <w:sz w:val="24"/>
          <w:szCs w:val="24"/>
        </w:rPr>
        <w:t>Требования к продукции</w:t>
      </w:r>
      <w:r>
        <w:rPr>
          <w:lang w:val="en-US"/>
        </w:rPr>
        <w:t>:</w:t>
      </w:r>
    </w:p>
    <w:p>
      <w:pPr>
        <w:pStyle w:val="Heading4"/>
        <w:numPr>
          <w:ilvl w:val="1"/>
          <w:numId w:val="3"/>
        </w:numPr>
        <w:ind w:left="432" w:hanging="432"/>
        <w:rPr>
          <w:lang w:val="ru-RU"/>
        </w:rPr>
      </w:pPr>
      <w:r>
        <w:rPr/>
        <w:t xml:space="preserve">Требования к этапам и срокам </w:t>
      </w:r>
      <w:r>
        <w:rPr>
          <w:lang w:val="ru-RU"/>
        </w:rPr>
        <w:t>оказания услуг:</w:t>
      </w:r>
    </w:p>
    <w:tbl>
      <w:tblPr>
        <w:tblW w:w="9771" w:type="dxa"/>
        <w:jc w:val="left"/>
        <w:tblInd w:w="113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766"/>
        <w:gridCol w:w="6164"/>
        <w:gridCol w:w="1495"/>
        <w:gridCol w:w="1345"/>
      </w:tblGrid>
      <w:tr>
        <w:trPr/>
        <w:tc>
          <w:tcPr>
            <w:tcW w:w="7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</w:t>
            </w:r>
            <w:r>
              <w:rPr>
                <w:sz w:val="24"/>
                <w:szCs w:val="24"/>
              </w:rPr>
              <w:t>этапа</w:t>
            </w:r>
          </w:p>
        </w:tc>
        <w:tc>
          <w:tcPr>
            <w:tcW w:w="61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услуг</w:t>
            </w:r>
          </w:p>
        </w:tc>
        <w:tc>
          <w:tcPr>
            <w:tcW w:w="2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Сроки оказания услуг</w:t>
            </w:r>
          </w:p>
        </w:tc>
      </w:tr>
      <w:tr>
        <w:trPr/>
        <w:tc>
          <w:tcPr>
            <w:tcW w:w="76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616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Начало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Окончание</w:t>
            </w:r>
          </w:p>
        </w:tc>
      </w:tr>
      <w:tr>
        <w:trPr>
          <w:trHeight w:val="407" w:hRule="atLeast"/>
        </w:trPr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6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Подводно-техническое обследование водосливной плотины и здания ГЭС Новосибирской ГЭС (обследование закладных частей (на  гидроагрегатах №6 и №7) рабочих затворов перед турбиной, аварийно-ремонтных затворов перед турбиной, низовых ремонтных заграждений, рабочих затворов донного водовыпуска, пролёта № 8 рабочего затвора водосливной плотины)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15.10.2026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20.11.2027</w:t>
            </w:r>
          </w:p>
        </w:tc>
      </w:tr>
      <w:tr>
        <w:trPr>
          <w:trHeight w:val="149" w:hRule="atLeast"/>
        </w:trPr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6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Подводно-техническое обследование водосливной плотины и здания ГЭС Новосибирской ГЭС (обследование закладных частей (на  гидроагрегатах №3 и №5) рабочих затворов перед турбиной, аварийно-ремонтных затворов перед турбиной, низовых ремонтных заграждений, рабочих затворов донного водовыпуска, пролёта № 7 рабочего затвора водосливной плотины)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15.01.2028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20.11.2028</w:t>
            </w:r>
          </w:p>
        </w:tc>
      </w:tr>
      <w:tr>
        <w:trPr>
          <w:trHeight w:val="161" w:hRule="atLeast"/>
        </w:trPr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6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Подводно-техническое обследование водосливной плотины и здания ГЭС Новосибирской ГЭС (обследование закладных частей пролёта №6 рабочего затвора водосливной плотины)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15.01.2029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20.11.2029</w:t>
            </w:r>
          </w:p>
        </w:tc>
      </w:tr>
      <w:tr>
        <w:trPr>
          <w:trHeight w:val="56" w:hRule="atLeast"/>
        </w:trPr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6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Подводно-техническое обследование водосливной плотины и здания ГЭС Новосибирской ГЭС (обследование закладных частей (на  гидроагрегате №1) рабочих затворов перед турбиной, аварийно-ремонтных затворов перед турбиной, низовых ремонтных заграждений, рабочих затворов донного водовыпуска, аварийно-ремонтных затворов водосливной плотины,  пролёта №5 рабочего затвора водосливной плотины)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15.01.2030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20.11.2030</w:t>
            </w:r>
          </w:p>
        </w:tc>
      </w:tr>
    </w:tbl>
    <w:p>
      <w:pPr>
        <w:sectPr>
          <w:headerReference w:type="even" r:id="rId2"/>
          <w:headerReference w:type="default" r:id="rId3"/>
          <w:headerReference w:type="first" r:id="rId4"/>
          <w:type w:val="nextPage"/>
          <w:pgSz w:w="11906" w:h="16838"/>
          <w:pgMar w:left="1134" w:right="991" w:gutter="0" w:header="680" w:top="737" w:footer="0" w:bottom="992"/>
          <w:pgNumType w:fmt="decimal"/>
          <w:formProt w:val="false"/>
          <w:titlePg/>
          <w:textDirection w:val="lrTb"/>
          <w:docGrid w:type="default" w:linePitch="360" w:charSpace="0"/>
        </w:sectPr>
        <w:pStyle w:val="Normal"/>
        <w:spacing w:before="240" w:after="0"/>
        <w:ind w:left="284" w:hanging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* Сроки оказания услуг по инструментальному обследованию могут быть изменены при уточнении графика ремонта основного и вспомогательного оборудования филиала ПАО «РусГидро»-«Новосибирская ГЭС». </w:t>
      </w:r>
    </w:p>
    <w:p>
      <w:pPr>
        <w:pStyle w:val="Style27"/>
        <w:numPr>
          <w:ilvl w:val="0"/>
          <w:numId w:val="0"/>
        </w:numPr>
        <w:spacing w:before="120" w:after="0"/>
        <w:jc w:val="left"/>
        <w:outlineLvl w:val="0"/>
        <w:rPr/>
      </w:pPr>
      <w:bookmarkStart w:id="0" w:name="_Toc54647834"/>
      <w:bookmarkStart w:id="1" w:name="_Toc51921661"/>
      <w:r>
        <w:rPr>
          <w:lang w:val="ru-RU"/>
        </w:rPr>
        <w:t>2</w:t>
      </w:r>
      <w:r>
        <w:rPr/>
        <w:t>.</w:t>
      </w:r>
      <w:r>
        <w:rPr>
          <w:lang w:val="ru-RU"/>
        </w:rPr>
        <w:t>2.</w:t>
      </w:r>
      <w:r>
        <w:rPr/>
        <w:t xml:space="preserve"> Требования к качеству </w:t>
      </w:r>
      <w:bookmarkEnd w:id="1"/>
      <w:r>
        <w:rPr>
          <w:lang w:val="ru-RU"/>
        </w:rPr>
        <w:t>продукции</w:t>
      </w:r>
      <w:bookmarkEnd w:id="0"/>
      <w:r>
        <w:rPr>
          <w:lang w:val="ru-RU"/>
        </w:rPr>
        <w:t>:</w:t>
      </w:r>
    </w:p>
    <w:tbl>
      <w:tblPr>
        <w:tblStyle w:val="affff9"/>
        <w:tblW w:w="15309" w:type="dxa"/>
        <w:jc w:val="left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852"/>
        <w:gridCol w:w="2693"/>
        <w:gridCol w:w="5528"/>
        <w:gridCol w:w="1984"/>
        <w:gridCol w:w="2125"/>
        <w:gridCol w:w="2126"/>
      </w:tblGrid>
      <w:tr>
        <w:trPr>
          <w:trHeight w:val="642" w:hRule="atLeast"/>
        </w:trPr>
        <w:tc>
          <w:tcPr>
            <w:tcW w:w="852" w:type="dxa"/>
            <w:vMerge w:val="restart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 xml:space="preserve">№ </w:t>
            </w: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>п/п</w:t>
            </w:r>
          </w:p>
        </w:tc>
        <w:tc>
          <w:tcPr>
            <w:tcW w:w="2693" w:type="dxa"/>
            <w:vMerge w:val="restart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>Наименование параметра</w:t>
            </w:r>
          </w:p>
        </w:tc>
        <w:tc>
          <w:tcPr>
            <w:tcW w:w="5528" w:type="dxa"/>
            <w:vMerge w:val="restart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>Требование заказчика</w:t>
            </w:r>
          </w:p>
        </w:tc>
        <w:tc>
          <w:tcPr>
            <w:tcW w:w="4109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>Способ подтверждения участником соответствия требованиям</w:t>
            </w:r>
          </w:p>
        </w:tc>
        <w:tc>
          <w:tcPr>
            <w:tcW w:w="2126" w:type="dxa"/>
            <w:vMerge w:val="restart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>Предложение участника по характеристикам и параметрам</w:t>
            </w:r>
          </w:p>
        </w:tc>
      </w:tr>
      <w:tr>
        <w:trPr/>
        <w:tc>
          <w:tcPr>
            <w:tcW w:w="852" w:type="dxa"/>
            <w:vMerge w:val="continue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</w:r>
          </w:p>
        </w:tc>
        <w:tc>
          <w:tcPr>
            <w:tcW w:w="2693" w:type="dxa"/>
            <w:vMerge w:val="continue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</w:r>
          </w:p>
        </w:tc>
        <w:tc>
          <w:tcPr>
            <w:tcW w:w="5528" w:type="dxa"/>
            <w:vMerge w:val="continue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</w:r>
          </w:p>
        </w:tc>
        <w:tc>
          <w:tcPr>
            <w:tcW w:w="1984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>Согласие с требованием/ указание характеристик</w:t>
            </w:r>
          </w:p>
        </w:tc>
        <w:tc>
          <w:tcPr>
            <w:tcW w:w="212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>Предоставление подтверждающего документа или иной способ подтверждения</w:t>
            </w:r>
          </w:p>
        </w:tc>
        <w:tc>
          <w:tcPr>
            <w:tcW w:w="2126" w:type="dxa"/>
            <w:vMerge w:val="continue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</w:r>
          </w:p>
        </w:tc>
      </w:tr>
      <w:tr>
        <w:trPr/>
        <w:tc>
          <w:tcPr>
            <w:tcW w:w="85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1</w:t>
            </w:r>
          </w:p>
        </w:tc>
        <w:tc>
          <w:tcPr>
            <w:tcW w:w="2693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>2</w:t>
            </w:r>
          </w:p>
        </w:tc>
        <w:tc>
          <w:tcPr>
            <w:tcW w:w="5528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>3</w:t>
            </w:r>
          </w:p>
        </w:tc>
        <w:tc>
          <w:tcPr>
            <w:tcW w:w="198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>4</w:t>
            </w:r>
          </w:p>
        </w:tc>
        <w:tc>
          <w:tcPr>
            <w:tcW w:w="2125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>5</w:t>
            </w:r>
          </w:p>
        </w:tc>
        <w:tc>
          <w:tcPr>
            <w:tcW w:w="2126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>6</w:t>
            </w:r>
          </w:p>
        </w:tc>
      </w:tr>
      <w:tr>
        <w:trPr/>
        <w:tc>
          <w:tcPr>
            <w:tcW w:w="852" w:type="dxa"/>
            <w:tcBorders/>
          </w:tcPr>
          <w:p>
            <w:pPr>
              <w:pStyle w:val="Normal"/>
              <w:widowControl w:val="false"/>
              <w:suppressAutoHyphens w:val="true"/>
              <w:spacing w:before="60" w:after="60"/>
              <w:jc w:val="left"/>
              <w:rPr>
                <w:iCs/>
                <w:sz w:val="24"/>
                <w:szCs w:val="24"/>
                <w:lang w:val="en-US"/>
              </w:rPr>
            </w:pPr>
            <w:r>
              <w:rPr>
                <w:rFonts w:eastAsia="Times New Roman" w:cs="Times New Roman"/>
                <w:iCs/>
                <w:kern w:val="0"/>
                <w:sz w:val="24"/>
                <w:szCs w:val="24"/>
                <w:lang w:val="en-US" w:eastAsia="ru-RU" w:bidi="ar-SA"/>
              </w:rPr>
              <w:t>1.</w:t>
            </w:r>
          </w:p>
        </w:tc>
        <w:tc>
          <w:tcPr>
            <w:tcW w:w="8221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Требования к качеству услуг</w:t>
            </w:r>
          </w:p>
        </w:tc>
        <w:tc>
          <w:tcPr>
            <w:tcW w:w="1984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</w:r>
          </w:p>
        </w:tc>
        <w:tc>
          <w:tcPr>
            <w:tcW w:w="212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</w:r>
          </w:p>
        </w:tc>
        <w:tc>
          <w:tcPr>
            <w:tcW w:w="2126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</w:r>
          </w:p>
        </w:tc>
      </w:tr>
      <w:tr>
        <w:trPr/>
        <w:tc>
          <w:tcPr>
            <w:tcW w:w="85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60" w:after="60"/>
              <w:jc w:val="left"/>
              <w:rPr>
                <w:iCs/>
                <w:sz w:val="24"/>
                <w:szCs w:val="24"/>
                <w:lang w:val="en-US"/>
              </w:rPr>
            </w:pPr>
            <w:r>
              <w:rPr>
                <w:rFonts w:eastAsia="Times New Roman" w:cs="Times New Roman"/>
                <w:iCs/>
                <w:kern w:val="0"/>
                <w:sz w:val="24"/>
                <w:szCs w:val="24"/>
                <w:lang w:val="en-US" w:eastAsia="ru-RU" w:bidi="ar-SA"/>
              </w:rPr>
              <w:t>1.1.</w:t>
            </w:r>
          </w:p>
        </w:tc>
        <w:tc>
          <w:tcPr>
            <w:tcW w:w="2693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Cs/>
                <w:sz w:val="24"/>
                <w:szCs w:val="24"/>
              </w:rPr>
            </w:pPr>
            <w:r>
              <w:rPr>
                <w:rFonts w:eastAsia="Times New Roman" w:cs="Times New Roman"/>
                <w:iCs/>
                <w:kern w:val="0"/>
                <w:sz w:val="24"/>
                <w:szCs w:val="24"/>
                <w:lang w:val="ru-RU" w:eastAsia="ru-RU" w:bidi="ar-SA"/>
              </w:rPr>
              <w:t>Требование к наименованию</w:t>
            </w:r>
          </w:p>
        </w:tc>
        <w:tc>
          <w:tcPr>
            <w:tcW w:w="5528" w:type="dxa"/>
            <w:tcBorders/>
            <w:shd w:color="auto" w:fill="auto" w:val="clear"/>
          </w:tcPr>
          <w:p>
            <w:pPr>
              <w:pStyle w:val="Heading4"/>
              <w:widowControl w:val="false"/>
              <w:numPr>
                <w:ilvl w:val="0"/>
              </w:numPr>
              <w:tabs>
                <w:tab w:val="clear" w:pos="0"/>
              </w:tabs>
              <w:suppressAutoHyphens w:val="true"/>
              <w:spacing w:before="0" w:after="60"/>
              <w:ind w:left="31" w:hanging="0"/>
              <w:jc w:val="left"/>
              <w:rPr>
                <w:lang w:val="ru-RU"/>
              </w:rPr>
            </w:pPr>
            <w:r>
              <w:rPr>
                <w:rFonts w:eastAsia="Times New Roman" w:cs="Times New Roman"/>
                <w:b w:val="false"/>
                <w:bCs w:val="false"/>
                <w:kern w:val="0"/>
                <w:lang w:val="ru-RU" w:eastAsia="ru-RU" w:bidi="ar-SA"/>
              </w:rPr>
              <w:t>Обследование водосливной плотины и здания ГЭС Новосибирской ГЭС в части закладных частей затворов.</w:t>
            </w:r>
          </w:p>
        </w:tc>
        <w:tc>
          <w:tcPr>
            <w:tcW w:w="1984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125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i/>
                <w:iCs/>
                <w:kern w:val="0"/>
                <w:sz w:val="24"/>
                <w:szCs w:val="24"/>
                <w:lang w:val="ru-RU" w:eastAsia="ru-RU" w:bidi="ar-SA"/>
              </w:rPr>
              <w:t>-</w:t>
            </w:r>
          </w:p>
        </w:tc>
        <w:tc>
          <w:tcPr>
            <w:tcW w:w="2126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iCs/>
                <w:kern w:val="0"/>
                <w:sz w:val="24"/>
                <w:szCs w:val="24"/>
                <w:lang w:val="ru-RU" w:eastAsia="ru-RU" w:bidi="ar-SA"/>
              </w:rPr>
              <w:t>-</w:t>
            </w:r>
          </w:p>
        </w:tc>
      </w:tr>
      <w:tr>
        <w:trPr/>
        <w:tc>
          <w:tcPr>
            <w:tcW w:w="85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60" w:after="60"/>
              <w:jc w:val="left"/>
              <w:rPr>
                <w:iCs/>
                <w:sz w:val="24"/>
                <w:szCs w:val="24"/>
                <w:lang w:val="en-US"/>
              </w:rPr>
            </w:pPr>
            <w:r>
              <w:rPr>
                <w:rFonts w:eastAsia="Times New Roman" w:cs="Times New Roman"/>
                <w:iCs/>
                <w:kern w:val="0"/>
                <w:sz w:val="24"/>
                <w:szCs w:val="24"/>
                <w:lang w:val="en-US" w:eastAsia="ru-RU" w:bidi="ar-SA"/>
              </w:rPr>
              <w:t>1.2.</w:t>
            </w:r>
          </w:p>
        </w:tc>
        <w:tc>
          <w:tcPr>
            <w:tcW w:w="2693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Cs/>
                <w:sz w:val="24"/>
                <w:szCs w:val="24"/>
              </w:rPr>
            </w:pPr>
            <w:r>
              <w:rPr>
                <w:rFonts w:eastAsia="Times New Roman" w:cs="Times New Roman"/>
                <w:iCs/>
                <w:kern w:val="0"/>
                <w:sz w:val="24"/>
                <w:szCs w:val="24"/>
                <w:lang w:val="ru-RU" w:eastAsia="ru-RU" w:bidi="ar-SA"/>
              </w:rPr>
              <w:t>Требование к области применения</w:t>
            </w:r>
          </w:p>
        </w:tc>
        <w:tc>
          <w:tcPr>
            <w:tcW w:w="5528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iCs/>
                <w:kern w:val="0"/>
                <w:sz w:val="24"/>
                <w:szCs w:val="24"/>
                <w:lang w:val="ru-RU" w:eastAsia="ru-RU" w:bidi="ar-SA"/>
              </w:rPr>
              <w:t xml:space="preserve">В результате оказания услуг будет составлен отчет с </w:t>
            </w: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заключением о техническом состоянии</w:t>
            </w:r>
            <w:bookmarkStart w:id="2" w:name="_GoBack"/>
            <w:bookmarkEnd w:id="2"/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 xml:space="preserve"> закладных частей затворов, ведомостями дефектов и указаниями по технологии устранения дефектов.</w:t>
            </w:r>
          </w:p>
        </w:tc>
        <w:tc>
          <w:tcPr>
            <w:tcW w:w="198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125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i/>
                <w:iCs/>
                <w:kern w:val="0"/>
                <w:sz w:val="24"/>
                <w:szCs w:val="24"/>
                <w:lang w:val="ru-RU" w:eastAsia="ru-RU" w:bidi="ar-SA"/>
              </w:rPr>
              <w:t>-</w:t>
            </w:r>
          </w:p>
        </w:tc>
        <w:tc>
          <w:tcPr>
            <w:tcW w:w="2126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jc w:val="center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/>
                <w:iCs/>
                <w:kern w:val="0"/>
                <w:sz w:val="24"/>
                <w:szCs w:val="24"/>
                <w:lang w:val="ru-RU" w:eastAsia="ru-RU" w:bidi="ar-SA"/>
              </w:rPr>
              <w:t>-</w:t>
            </w:r>
          </w:p>
        </w:tc>
      </w:tr>
      <w:tr>
        <w:trPr/>
        <w:tc>
          <w:tcPr>
            <w:tcW w:w="85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60" w:after="60"/>
              <w:jc w:val="left"/>
              <w:rPr>
                <w:iCs/>
                <w:sz w:val="24"/>
                <w:szCs w:val="24"/>
                <w:lang w:val="en-US"/>
              </w:rPr>
            </w:pPr>
            <w:r>
              <w:rPr>
                <w:rFonts w:eastAsia="Times New Roman" w:cs="Times New Roman"/>
                <w:iCs/>
                <w:kern w:val="0"/>
                <w:sz w:val="24"/>
                <w:szCs w:val="24"/>
                <w:lang w:val="en-US" w:eastAsia="ru-RU" w:bidi="ar-SA"/>
              </w:rPr>
              <w:t>1.3.</w:t>
            </w:r>
          </w:p>
        </w:tc>
        <w:tc>
          <w:tcPr>
            <w:tcW w:w="8221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>Требования к целям и задачам обследованиям, ожидаемому эффекту:</w:t>
            </w:r>
          </w:p>
        </w:tc>
        <w:tc>
          <w:tcPr>
            <w:tcW w:w="1984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jc w:val="center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  <w:tc>
          <w:tcPr>
            <w:tcW w:w="2125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jc w:val="center"/>
              <w:rPr>
                <w:i/>
                <w:i/>
                <w:iCs/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iCs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  <w:tc>
          <w:tcPr>
            <w:tcW w:w="2126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jc w:val="center"/>
              <w:rPr>
                <w:i/>
                <w:i/>
                <w:iCs/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iCs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</w:tr>
      <w:tr>
        <w:trPr/>
        <w:tc>
          <w:tcPr>
            <w:tcW w:w="85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60" w:after="60"/>
              <w:jc w:val="left"/>
              <w:rPr>
                <w:iCs/>
                <w:sz w:val="24"/>
                <w:szCs w:val="24"/>
                <w:lang w:val="en-US"/>
              </w:rPr>
            </w:pPr>
            <w:r>
              <w:rPr>
                <w:rFonts w:eastAsia="Times New Roman" w:cs="Times New Roman"/>
                <w:iCs/>
                <w:kern w:val="0"/>
                <w:sz w:val="24"/>
                <w:szCs w:val="24"/>
                <w:lang w:val="en-US" w:eastAsia="ru-RU" w:bidi="ar-SA"/>
              </w:rPr>
              <w:t>1.3.1.</w:t>
            </w:r>
          </w:p>
        </w:tc>
        <w:tc>
          <w:tcPr>
            <w:tcW w:w="2693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Cs/>
                <w:sz w:val="24"/>
                <w:szCs w:val="24"/>
              </w:rPr>
            </w:pPr>
            <w:r>
              <w:rPr>
                <w:rFonts w:eastAsia="Times New Roman" w:cs="Times New Roman"/>
                <w:iCs/>
                <w:kern w:val="0"/>
                <w:sz w:val="24"/>
                <w:szCs w:val="24"/>
                <w:lang w:val="ru-RU" w:eastAsia="ru-RU" w:bidi="ar-SA"/>
              </w:rPr>
              <w:t>Цель разработки</w:t>
            </w:r>
          </w:p>
        </w:tc>
        <w:tc>
          <w:tcPr>
            <w:tcW w:w="5528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/>
                <w:i/>
                <w:iCs/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kern w:val="0"/>
                <w:sz w:val="24"/>
                <w:szCs w:val="24"/>
                <w:lang w:val="ru-RU" w:eastAsia="ru-RU" w:bidi="ar-SA"/>
              </w:rPr>
              <w:t>определение технического состояния и остаточного ресурса закладных частей затворов.</w:t>
            </w:r>
          </w:p>
        </w:tc>
        <w:tc>
          <w:tcPr>
            <w:tcW w:w="198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125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-</w:t>
            </w:r>
          </w:p>
        </w:tc>
        <w:tc>
          <w:tcPr>
            <w:tcW w:w="2126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jc w:val="center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iCs/>
                <w:kern w:val="0"/>
                <w:sz w:val="24"/>
                <w:szCs w:val="24"/>
                <w:lang w:val="ru-RU" w:eastAsia="ru-RU" w:bidi="ar-SA"/>
              </w:rPr>
              <w:t>-</w:t>
            </w:r>
          </w:p>
        </w:tc>
      </w:tr>
      <w:tr>
        <w:trPr/>
        <w:tc>
          <w:tcPr>
            <w:tcW w:w="85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60" w:after="60"/>
              <w:jc w:val="left"/>
              <w:rPr>
                <w:iCs/>
                <w:sz w:val="24"/>
                <w:szCs w:val="24"/>
                <w:lang w:val="en-US"/>
              </w:rPr>
            </w:pPr>
            <w:r>
              <w:rPr>
                <w:rFonts w:eastAsia="Times New Roman" w:cs="Times New Roman"/>
                <w:iCs/>
                <w:kern w:val="0"/>
                <w:sz w:val="24"/>
                <w:szCs w:val="24"/>
                <w:lang w:val="en-US" w:eastAsia="ru-RU" w:bidi="ar-SA"/>
              </w:rPr>
              <w:t>1.3.2.</w:t>
            </w:r>
          </w:p>
        </w:tc>
        <w:tc>
          <w:tcPr>
            <w:tcW w:w="2693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Cs/>
                <w:sz w:val="24"/>
                <w:szCs w:val="24"/>
              </w:rPr>
            </w:pPr>
            <w:r>
              <w:rPr>
                <w:rFonts w:eastAsia="Times New Roman" w:cs="Times New Roman"/>
                <w:iCs/>
                <w:kern w:val="0"/>
                <w:sz w:val="24"/>
                <w:szCs w:val="24"/>
                <w:lang w:val="ru-RU" w:eastAsia="ru-RU" w:bidi="ar-SA"/>
              </w:rPr>
              <w:t>Задачи разработки</w:t>
            </w:r>
          </w:p>
        </w:tc>
        <w:tc>
          <w:tcPr>
            <w:tcW w:w="5528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both"/>
              <w:rPr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kern w:val="0"/>
                <w:sz w:val="24"/>
                <w:szCs w:val="24"/>
                <w:lang w:val="ru-RU" w:eastAsia="ru-RU" w:bidi="ar-SA"/>
              </w:rPr>
              <w:t>определение технического состояния и остаточного ресурса закладных частей затворов.</w:t>
            </w:r>
          </w:p>
          <w:p>
            <w:pPr>
              <w:pStyle w:val="Normal"/>
              <w:widowControl w:val="false"/>
              <w:suppressAutoHyphens w:val="true"/>
              <w:spacing w:before="240" w:after="0"/>
              <w:contextualSpacing/>
              <w:jc w:val="both"/>
              <w:rPr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kern w:val="0"/>
                <w:sz w:val="24"/>
                <w:szCs w:val="24"/>
                <w:lang w:val="ru-RU" w:eastAsia="ru-RU" w:bidi="ar-SA"/>
              </w:rPr>
              <w:t>Инструментальное обследование закладных частей затворов.</w:t>
            </w:r>
          </w:p>
        </w:tc>
        <w:tc>
          <w:tcPr>
            <w:tcW w:w="198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125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-</w:t>
            </w:r>
          </w:p>
        </w:tc>
        <w:tc>
          <w:tcPr>
            <w:tcW w:w="2126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jc w:val="center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iCs/>
                <w:kern w:val="0"/>
                <w:sz w:val="24"/>
                <w:szCs w:val="24"/>
                <w:lang w:val="ru-RU" w:eastAsia="ru-RU" w:bidi="ar-SA"/>
              </w:rPr>
              <w:t>-</w:t>
            </w:r>
          </w:p>
        </w:tc>
      </w:tr>
      <w:tr>
        <w:trPr/>
        <w:tc>
          <w:tcPr>
            <w:tcW w:w="85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60" w:after="60"/>
              <w:jc w:val="left"/>
              <w:rPr>
                <w:iCs/>
                <w:sz w:val="24"/>
                <w:szCs w:val="24"/>
                <w:lang w:val="en-US"/>
              </w:rPr>
            </w:pPr>
            <w:r>
              <w:rPr>
                <w:rFonts w:eastAsia="Times New Roman" w:cs="Times New Roman"/>
                <w:iCs/>
                <w:kern w:val="0"/>
                <w:sz w:val="24"/>
                <w:szCs w:val="24"/>
                <w:lang w:val="en-US" w:eastAsia="ru-RU" w:bidi="ar-SA"/>
              </w:rPr>
              <w:t>1.3.3.</w:t>
            </w:r>
          </w:p>
        </w:tc>
        <w:tc>
          <w:tcPr>
            <w:tcW w:w="2693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jc w:val="left"/>
              <w:rPr>
                <w:bCs/>
                <w:iCs/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iCs/>
                <w:kern w:val="0"/>
                <w:sz w:val="24"/>
                <w:szCs w:val="24"/>
                <w:lang w:val="ru-RU" w:eastAsia="ru-RU" w:bidi="ar-SA"/>
              </w:rPr>
              <w:t>Основной ожидаемый эффект</w:t>
            </w:r>
          </w:p>
        </w:tc>
        <w:tc>
          <w:tcPr>
            <w:tcW w:w="5528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/>
                <w:i/>
                <w:iCs/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kern w:val="0"/>
                <w:sz w:val="24"/>
                <w:szCs w:val="24"/>
                <w:lang w:val="ru-RU" w:eastAsia="ru-RU" w:bidi="ar-SA"/>
              </w:rPr>
              <w:t>определение фактического технического состояния закладных частей затворов.</w:t>
            </w:r>
          </w:p>
        </w:tc>
        <w:tc>
          <w:tcPr>
            <w:tcW w:w="198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125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i/>
                <w:iCs/>
                <w:kern w:val="0"/>
                <w:sz w:val="24"/>
                <w:szCs w:val="24"/>
                <w:lang w:val="ru-RU" w:eastAsia="ru-RU" w:bidi="ar-SA"/>
              </w:rPr>
              <w:t>-</w:t>
            </w:r>
          </w:p>
        </w:tc>
        <w:tc>
          <w:tcPr>
            <w:tcW w:w="2126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jc w:val="center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iCs/>
                <w:kern w:val="0"/>
                <w:sz w:val="24"/>
                <w:szCs w:val="24"/>
                <w:lang w:val="ru-RU" w:eastAsia="ru-RU" w:bidi="ar-SA"/>
              </w:rPr>
              <w:t>-</w:t>
            </w:r>
          </w:p>
        </w:tc>
      </w:tr>
      <w:tr>
        <w:trPr/>
        <w:tc>
          <w:tcPr>
            <w:tcW w:w="85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60" w:after="60"/>
              <w:jc w:val="left"/>
              <w:rPr>
                <w:iCs/>
                <w:sz w:val="24"/>
                <w:szCs w:val="24"/>
                <w:lang w:val="en-US"/>
              </w:rPr>
            </w:pPr>
            <w:r>
              <w:rPr>
                <w:rFonts w:eastAsia="Times New Roman" w:cs="Times New Roman"/>
                <w:iCs/>
                <w:kern w:val="0"/>
                <w:sz w:val="24"/>
                <w:szCs w:val="24"/>
                <w:lang w:val="en-US" w:eastAsia="ru-RU" w:bidi="ar-SA"/>
              </w:rPr>
              <w:t>1.4.</w:t>
            </w:r>
          </w:p>
        </w:tc>
        <w:tc>
          <w:tcPr>
            <w:tcW w:w="2693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jc w:val="left"/>
              <w:rPr>
                <w:bCs/>
                <w:iCs/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iCs/>
                <w:kern w:val="0"/>
                <w:sz w:val="24"/>
                <w:szCs w:val="24"/>
                <w:lang w:val="ru-RU" w:eastAsia="ru-RU" w:bidi="ar-SA"/>
              </w:rPr>
              <w:t>Требование к потребности</w:t>
            </w:r>
          </w:p>
        </w:tc>
        <w:tc>
          <w:tcPr>
            <w:tcW w:w="5528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sz w:val="24"/>
                <w:szCs w:val="24"/>
                <w:lang w:val="ru-RU" w:eastAsia="ru-RU" w:bidi="ar-SA"/>
              </w:rPr>
              <w:t>СТО 17330282.27.140.017-2008 Механическое оборудование гидротехнических сооружений ГЭС. Организация эксплуатации технического обслуживания. Нормы и требования.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sz w:val="24"/>
                <w:szCs w:val="24"/>
                <w:lang w:val="ru-RU" w:eastAsia="ru-RU" w:bidi="ar-SA"/>
              </w:rPr>
              <w:t>"5.6.9    Инструментальное обследование состояния основных затворов должно проводиться по мере необходимости. Для затворов, находящихся в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sz w:val="24"/>
                <w:szCs w:val="24"/>
                <w:lang w:val="ru-RU" w:eastAsia="ru-RU" w:bidi="ar-SA"/>
              </w:rPr>
              <w:t>эксплуатации 25 лет и более, периодичность обследований не должна превышать 5 лет.</w:t>
            </w: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"</w:t>
            </w:r>
            <w:r>
              <w:rPr>
                <w:rFonts w:eastAsia="Times New Roman" w:cs="Times New Roman"/>
                <w:bCs/>
                <w:kern w:val="0"/>
                <w:sz w:val="24"/>
                <w:szCs w:val="24"/>
                <w:lang w:val="ru-RU" w:eastAsia="ru-RU" w:bidi="ar-SA"/>
              </w:rPr>
              <w:t>.</w:t>
            </w:r>
          </w:p>
        </w:tc>
        <w:tc>
          <w:tcPr>
            <w:tcW w:w="198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125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i/>
                <w:iCs/>
                <w:kern w:val="0"/>
                <w:sz w:val="24"/>
                <w:szCs w:val="24"/>
                <w:lang w:val="ru-RU" w:eastAsia="ru-RU" w:bidi="ar-SA"/>
              </w:rPr>
              <w:t>-</w:t>
            </w:r>
          </w:p>
        </w:tc>
        <w:tc>
          <w:tcPr>
            <w:tcW w:w="2126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jc w:val="center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iCs/>
                <w:kern w:val="0"/>
                <w:sz w:val="24"/>
                <w:szCs w:val="24"/>
                <w:lang w:val="ru-RU" w:eastAsia="ru-RU" w:bidi="ar-SA"/>
              </w:rPr>
              <w:t>-</w:t>
            </w:r>
          </w:p>
        </w:tc>
      </w:tr>
      <w:tr>
        <w:trPr/>
        <w:tc>
          <w:tcPr>
            <w:tcW w:w="85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60" w:after="60"/>
              <w:jc w:val="left"/>
              <w:rPr>
                <w:iCs/>
                <w:sz w:val="24"/>
                <w:szCs w:val="24"/>
                <w:lang w:val="en-US"/>
              </w:rPr>
            </w:pPr>
            <w:r>
              <w:rPr>
                <w:rFonts w:eastAsia="Times New Roman" w:cs="Times New Roman"/>
                <w:iCs/>
                <w:kern w:val="0"/>
                <w:sz w:val="24"/>
                <w:szCs w:val="24"/>
                <w:lang w:val="en-US" w:eastAsia="ru-RU" w:bidi="ar-SA"/>
              </w:rPr>
              <w:t>1.5.</w:t>
            </w:r>
          </w:p>
        </w:tc>
        <w:tc>
          <w:tcPr>
            <w:tcW w:w="2693" w:type="dxa"/>
            <w:tcBorders/>
          </w:tcPr>
          <w:p>
            <w:pPr>
              <w:pStyle w:val="Normal"/>
              <w:widowControl w:val="false"/>
              <w:shd w:val="clear" w:color="auto" w:fill="FFFFFF"/>
              <w:suppressAutoHyphens w:val="true"/>
              <w:spacing w:before="0" w:after="0"/>
              <w:jc w:val="left"/>
              <w:rPr>
                <w:iCs/>
                <w:sz w:val="24"/>
                <w:szCs w:val="24"/>
              </w:rPr>
            </w:pPr>
            <w:r>
              <w:rPr>
                <w:rFonts w:eastAsia="Times New Roman" w:cs="Times New Roman"/>
                <w:iCs/>
                <w:kern w:val="0"/>
                <w:sz w:val="24"/>
                <w:szCs w:val="24"/>
                <w:lang w:val="ru-RU" w:eastAsia="ru-RU" w:bidi="ar-SA"/>
              </w:rPr>
              <w:t>Краткое описание последовательности услуг</w:t>
            </w:r>
          </w:p>
        </w:tc>
        <w:tc>
          <w:tcPr>
            <w:tcW w:w="5528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Cs/>
                <w:sz w:val="24"/>
                <w:szCs w:val="24"/>
              </w:rPr>
            </w:pPr>
            <w:r>
              <w:rPr>
                <w:rFonts w:eastAsia="Times New Roman" w:cs="Times New Roman"/>
                <w:iCs/>
                <w:kern w:val="0"/>
                <w:sz w:val="24"/>
                <w:szCs w:val="24"/>
                <w:lang w:val="ru-RU" w:eastAsia="ru-RU" w:bidi="ar-SA"/>
              </w:rPr>
              <w:t>Услуги оказываются в следующей последовательности:</w:t>
            </w:r>
          </w:p>
          <w:p>
            <w:pPr>
              <w:pStyle w:val="ListParagraph"/>
              <w:widowControl w:val="false"/>
              <w:numPr>
                <w:ilvl w:val="0"/>
                <w:numId w:val="7"/>
              </w:numPr>
              <w:suppressAutoHyphens w:val="true"/>
              <w:spacing w:before="0" w:after="0"/>
              <w:ind w:left="0" w:hanging="0"/>
              <w:contextualSpacing/>
              <w:jc w:val="both"/>
              <w:rPr>
                <w:szCs w:val="20"/>
              </w:rPr>
            </w:pPr>
            <w:r>
              <w:rPr>
                <w:rFonts w:cs="Times New Roman"/>
                <w:kern w:val="0"/>
                <w:szCs w:val="20"/>
                <w:lang w:val="ru-RU" w:eastAsia="ru-RU" w:bidi="ar-SA"/>
              </w:rPr>
              <w:t>Подготовительные работы;</w:t>
            </w:r>
          </w:p>
          <w:p>
            <w:pPr>
              <w:pStyle w:val="ListParagraph"/>
              <w:widowControl w:val="false"/>
              <w:numPr>
                <w:ilvl w:val="0"/>
                <w:numId w:val="7"/>
              </w:numPr>
              <w:suppressAutoHyphens w:val="true"/>
              <w:spacing w:before="0" w:after="0"/>
              <w:ind w:left="0" w:hanging="0"/>
              <w:contextualSpacing/>
              <w:jc w:val="both"/>
              <w:rPr>
                <w:szCs w:val="20"/>
              </w:rPr>
            </w:pPr>
            <w:r>
              <w:rPr>
                <w:rFonts w:cs="Times New Roman"/>
                <w:kern w:val="0"/>
                <w:szCs w:val="20"/>
                <w:lang w:val="ru-RU" w:eastAsia="ru-RU" w:bidi="ar-SA"/>
              </w:rPr>
              <w:t>Проведение инструментального обследования закладных частей затворов</w:t>
            </w:r>
            <w:r>
              <w:rPr>
                <w:rFonts w:cs="Times New Roman"/>
                <w:kern w:val="0"/>
                <w:lang w:val="ru-RU" w:eastAsia="ru-RU" w:bidi="ar-SA"/>
              </w:rPr>
              <w:t>;</w:t>
            </w:r>
          </w:p>
          <w:p>
            <w:pPr>
              <w:pStyle w:val="ListParagraph"/>
              <w:widowControl w:val="false"/>
              <w:numPr>
                <w:ilvl w:val="0"/>
                <w:numId w:val="7"/>
              </w:numPr>
              <w:suppressAutoHyphens w:val="true"/>
              <w:spacing w:before="0" w:after="0"/>
              <w:ind w:left="0" w:hanging="0"/>
              <w:contextualSpacing/>
              <w:jc w:val="both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kern w:val="0"/>
                <w:lang w:val="ru-RU" w:eastAsia="ru-RU" w:bidi="ar-SA"/>
              </w:rPr>
              <w:t>Оформление отчетной документации.</w:t>
            </w:r>
          </w:p>
        </w:tc>
        <w:tc>
          <w:tcPr>
            <w:tcW w:w="198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125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iCs/>
                <w:kern w:val="0"/>
                <w:sz w:val="24"/>
                <w:szCs w:val="24"/>
                <w:lang w:val="ru-RU" w:eastAsia="ru-RU" w:bidi="ar-SA"/>
              </w:rPr>
              <w:t>-</w:t>
            </w:r>
          </w:p>
        </w:tc>
        <w:tc>
          <w:tcPr>
            <w:tcW w:w="2126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jc w:val="center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/>
                <w:iCs/>
                <w:kern w:val="0"/>
                <w:sz w:val="24"/>
                <w:szCs w:val="24"/>
                <w:lang w:val="ru-RU" w:eastAsia="ru-RU" w:bidi="ar-SA"/>
              </w:rPr>
              <w:t>-</w:t>
            </w:r>
          </w:p>
        </w:tc>
      </w:tr>
      <w:tr>
        <w:trPr/>
        <w:tc>
          <w:tcPr>
            <w:tcW w:w="85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60" w:after="60"/>
              <w:jc w:val="left"/>
              <w:rPr>
                <w:iCs/>
                <w:sz w:val="24"/>
                <w:szCs w:val="24"/>
                <w:lang w:val="en-US"/>
              </w:rPr>
            </w:pPr>
            <w:r>
              <w:rPr>
                <w:rFonts w:eastAsia="Times New Roman" w:cs="Times New Roman"/>
                <w:iCs/>
                <w:kern w:val="0"/>
                <w:sz w:val="24"/>
                <w:szCs w:val="24"/>
                <w:lang w:val="en-US" w:eastAsia="ru-RU" w:bidi="ar-SA"/>
              </w:rPr>
              <w:t>1.6.</w:t>
            </w:r>
          </w:p>
        </w:tc>
        <w:tc>
          <w:tcPr>
            <w:tcW w:w="8221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b/>
                <w:bCs/>
                <w:iCs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iCs/>
                <w:kern w:val="0"/>
                <w:sz w:val="24"/>
                <w:szCs w:val="24"/>
                <w:lang w:val="ru-RU" w:eastAsia="ru-RU" w:bidi="ar-SA"/>
              </w:rPr>
              <w:t>Основные требуемые параметры</w:t>
            </w:r>
          </w:p>
        </w:tc>
        <w:tc>
          <w:tcPr>
            <w:tcW w:w="1984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jc w:val="center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  <w:tc>
          <w:tcPr>
            <w:tcW w:w="2125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jc w:val="center"/>
              <w:rPr>
                <w:iCs/>
                <w:sz w:val="24"/>
                <w:szCs w:val="24"/>
              </w:rPr>
            </w:pPr>
            <w:r>
              <w:rPr>
                <w:rFonts w:eastAsia="Times New Roman" w:cs="Times New Roman"/>
                <w:iCs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  <w:tc>
          <w:tcPr>
            <w:tcW w:w="2126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jc w:val="center"/>
              <w:rPr>
                <w:iCs/>
                <w:sz w:val="24"/>
                <w:szCs w:val="24"/>
              </w:rPr>
            </w:pPr>
            <w:r>
              <w:rPr>
                <w:rFonts w:eastAsia="Times New Roman" w:cs="Times New Roman"/>
                <w:iCs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</w:tr>
      <w:tr>
        <w:trPr/>
        <w:tc>
          <w:tcPr>
            <w:tcW w:w="852" w:type="dxa"/>
            <w:tcBorders/>
          </w:tcPr>
          <w:p>
            <w:pPr>
              <w:pStyle w:val="Normal"/>
              <w:widowControl w:val="false"/>
              <w:suppressAutoHyphens w:val="true"/>
              <w:spacing w:before="60" w:after="60"/>
              <w:jc w:val="left"/>
              <w:rPr>
                <w:iCs/>
                <w:sz w:val="24"/>
                <w:szCs w:val="24"/>
                <w:lang w:val="en-US"/>
              </w:rPr>
            </w:pPr>
            <w:r>
              <w:rPr>
                <w:rFonts w:eastAsia="Times New Roman" w:cs="Times New Roman"/>
                <w:iCs/>
                <w:kern w:val="0"/>
                <w:sz w:val="24"/>
                <w:szCs w:val="24"/>
                <w:lang w:val="en-US" w:eastAsia="ru-RU" w:bidi="ar-SA"/>
              </w:rPr>
              <w:t>1.6.1.</w:t>
            </w:r>
          </w:p>
        </w:tc>
        <w:tc>
          <w:tcPr>
            <w:tcW w:w="2693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jc w:val="left"/>
              <w:rPr>
                <w:iCs/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Объем услуг</w:t>
            </w:r>
          </w:p>
        </w:tc>
        <w:tc>
          <w:tcPr>
            <w:tcW w:w="5528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60"/>
              <w:jc w:val="both"/>
              <w:rPr>
                <w:iCs/>
                <w:sz w:val="24"/>
                <w:szCs w:val="24"/>
              </w:rPr>
            </w:pPr>
            <w:r>
              <w:rPr>
                <w:rFonts w:eastAsia="Times New Roman" w:cs="Times New Roman"/>
                <w:iCs/>
                <w:kern w:val="0"/>
                <w:sz w:val="24"/>
                <w:szCs w:val="24"/>
                <w:lang w:val="ru-RU" w:eastAsia="ru-RU" w:bidi="ar-SA"/>
              </w:rPr>
              <w:t>Подготовительные работы: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iCs/>
                <w:sz w:val="24"/>
                <w:szCs w:val="24"/>
              </w:rPr>
            </w:pPr>
            <w:r>
              <w:rPr>
                <w:rFonts w:eastAsia="Times New Roman" w:cs="Times New Roman"/>
                <w:iCs/>
                <w:kern w:val="0"/>
                <w:sz w:val="24"/>
                <w:szCs w:val="24"/>
                <w:lang w:val="ru-RU" w:eastAsia="ru-RU" w:bidi="ar-SA"/>
              </w:rPr>
              <w:t>- изучение технической и конструкторской документации, имеющихся в наличии чертежей;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iCs/>
                <w:kern w:val="0"/>
                <w:sz w:val="24"/>
                <w:szCs w:val="24"/>
                <w:lang w:val="ru-RU" w:eastAsia="ru-RU" w:bidi="ar-SA"/>
              </w:rPr>
              <w:t xml:space="preserve">- разработка Исполнителем и утверждение Заказчиком Календарно-сетевого графика </w:t>
            </w: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оказания услуг с понедельной разбивкой</w:t>
            </w:r>
            <w:r>
              <w:rPr>
                <w:rFonts w:eastAsia="Times New Roman" w:cs="Times New Roman"/>
                <w:iCs/>
                <w:kern w:val="0"/>
                <w:sz w:val="24"/>
                <w:szCs w:val="24"/>
                <w:lang w:val="ru-RU" w:eastAsia="ru-RU" w:bidi="ar-SA"/>
              </w:rPr>
              <w:t>, программы инструментального обследования закладных частей. График инструментального обследования закладных частей может быть изменен при уточнении графика ремонта основного и вспомогательного оборудования филиала ПАО «РусГидро»-«Новосибирская ГЭС»;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iCs/>
                <w:kern w:val="0"/>
                <w:sz w:val="24"/>
                <w:szCs w:val="24"/>
                <w:lang w:val="ru-RU" w:eastAsia="ru-RU" w:bidi="ar-SA"/>
              </w:rPr>
              <w:t>- разработка, согласование с Заказчиком и утверждение Исполнителем плана производства работ на высоте (ППРв) и плана мероприятий по эвакуации и спасению работников при возникновении аварийной ситуации и при проведении спасательных работ на высоте. ППРв разработать в составе и содержании в соответствии с Правилами по охране труда при работе на высоте, утв. приказом Минтруда России от 16.11.2020 №782н. Без согласованного с Заказчиком и утвержденного Исполнителем ППРв проведение работ по инструментальному обследованию не допускается, персонал Исполнителя в зону обследования не допускается;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iCs/>
                <w:kern w:val="0"/>
                <w:sz w:val="24"/>
                <w:szCs w:val="24"/>
                <w:lang w:val="ru-RU" w:eastAsia="ru-RU" w:bidi="ar-SA"/>
              </w:rPr>
              <w:t>- разработка, согласование с Заказчиком и утверждение Исполнителем технологической карты на выполнение подводно-технических работ. Технологическую карту разработать в составе и содержании и в соответствии с требованиями правил по охране труда при выполнении водолазных работ</w:t>
            </w:r>
            <w:r>
              <w:rPr>
                <w:rFonts w:eastAsia="Times New Roman" w:cs="Times New Roman"/>
                <w:bCs/>
                <w:kern w:val="0"/>
                <w:sz w:val="24"/>
                <w:szCs w:val="24"/>
                <w:shd w:fill="FFFFFF" w:val="clear"/>
                <w:lang w:val="ru-RU" w:eastAsia="ru-RU" w:bidi="ar-SA"/>
              </w:rPr>
              <w:t xml:space="preserve"> </w:t>
            </w:r>
            <w:r>
              <w:rPr>
                <w:rFonts w:eastAsia="Times New Roman" w:cs="Times New Roman"/>
                <w:iCs/>
                <w:kern w:val="0"/>
                <w:sz w:val="24"/>
                <w:szCs w:val="24"/>
                <w:lang w:val="ru-RU" w:eastAsia="ru-RU" w:bidi="ar-SA"/>
              </w:rPr>
              <w:t xml:space="preserve">утв. приказом Минтруда России </w:t>
            </w:r>
            <w:r>
              <w:rPr>
                <w:rFonts w:eastAsia="Times New Roman" w:cs="Times New Roman"/>
                <w:bCs/>
                <w:kern w:val="0"/>
                <w:sz w:val="24"/>
                <w:szCs w:val="24"/>
                <w:shd w:fill="FFFFFF" w:val="clear"/>
                <w:lang w:val="ru-RU" w:eastAsia="ru-RU" w:bidi="ar-SA"/>
              </w:rPr>
              <w:t>№ 92</w:t>
            </w:r>
            <w:r>
              <w:rPr>
                <w:rFonts w:eastAsia="Times New Roman" w:cs="Times New Roman"/>
                <w:iCs/>
                <w:kern w:val="0"/>
                <w:sz w:val="24"/>
                <w:szCs w:val="24"/>
                <w:lang w:val="ru-RU" w:eastAsia="ru-RU" w:bidi="ar-SA"/>
              </w:rPr>
              <w:t>2н от 17 декабря 2020 г.;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iCs/>
                <w:kern w:val="0"/>
                <w:sz w:val="24"/>
                <w:szCs w:val="24"/>
                <w:lang w:val="ru-RU" w:eastAsia="ru-RU" w:bidi="ar-SA"/>
              </w:rPr>
              <w:t>- доставка необходимого для проведения инструментального обследования оборудования и инвентаря на место оказания услуг;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iCs/>
                <w:kern w:val="0"/>
                <w:sz w:val="24"/>
                <w:szCs w:val="24"/>
                <w:lang w:val="ru-RU" w:eastAsia="ru-RU" w:bidi="ar-SA"/>
              </w:rPr>
              <w:t>- оформление наряда-допуска на инструментальное обследование.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iCs/>
                <w:sz w:val="24"/>
                <w:szCs w:val="24"/>
              </w:rPr>
            </w:pPr>
            <w:r>
              <w:rPr>
                <w:rFonts w:eastAsia="Times New Roman" w:cs="Times New Roman"/>
                <w:iCs/>
                <w:kern w:val="0"/>
                <w:sz w:val="24"/>
                <w:szCs w:val="24"/>
                <w:lang w:val="ru-RU" w:eastAsia="ru-RU" w:bidi="ar-SA"/>
              </w:rPr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ind w:firstLine="317"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iCs/>
                <w:kern w:val="0"/>
                <w:sz w:val="24"/>
                <w:szCs w:val="24"/>
                <w:lang w:val="ru-RU" w:eastAsia="ru-RU" w:bidi="ar-SA"/>
              </w:rPr>
              <w:t>Выполнение инструментального обследования закладных частей затворов в соот</w:t>
            </w: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ветствии с программой и Графиком, утвержденным Заказчиком: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- Подводно-техническое обследование закладных частей рабочих затворов перед турбиной в 3 пазах (в каждом пазу по восемь закладных 25 м длиной, глубина погружения до 22 м);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- Подводно-техническое обследование закладных частей аварийно-ремонтных затворов со стороны верхнего бьефа в 3 пазах (в каждом пазу по шесть закладных 35 м длиной, глубина погружения до 31 м);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- Подводно-техническое обследование закладных частей низовых ремонтных заграждений в 3 пазах (в каждом пазу по шесть закладных 20 м длиной, глубина погружения 15,6 м);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- Подводно-техническое обследование закладных частей рабочих затворов донного водовыпуска в 3 пазах (в каждом пазу по шесть закладных 12 м длиной, высота подъема 12 м.);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- Подводно-техническое обследование закладных частей рабочих затворов водосливной плотины в 1 пазу (в пазу по восемь закладных 13 м длиной, высота подъема 15,5 м.);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-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 xml:space="preserve"> </w:t>
            </w: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Подводно-техническое обследование закладных частей аварийно-ремонтных затворов водосливной плотины в 8 пазах (в каждом пазу по восемь закладных 13,9 м длиной, глубина погружения 9,9 м);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kern w:val="0"/>
                <w:sz w:val="24"/>
                <w:szCs w:val="24"/>
                <w:lang w:val="ru-RU" w:eastAsia="ru-RU" w:bidi="ar-SA"/>
              </w:rPr>
              <w:t>-</w:t>
            </w: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Выполнение инструментального (ультразвукового) и визуально измерительного контроля сварных швов и металлоконструкций;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- Выполнение твердометрии закладных частей;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-Выполнение инструментального контроля геометрических параметров закладных частей.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 xml:space="preserve"> </w:t>
            </w: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Оформление отчетной документации: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ind w:left="33" w:hanging="0"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- обработка исходных данных и фактически полученных результатов;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ind w:left="33" w:hanging="0"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- выполнение необходимых расчетов, составление формуляров по инструментальному обследованию закладных частей;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ind w:left="33" w:hanging="0"/>
              <w:jc w:val="both"/>
              <w:rPr>
                <w:sz w:val="24"/>
                <w:szCs w:val="20"/>
              </w:rPr>
            </w:pPr>
            <w:r>
              <w:rPr>
                <w:rFonts w:eastAsia="Times New Roman" w:cs="Times New Roman"/>
                <w:kern w:val="0"/>
                <w:sz w:val="24"/>
                <w:szCs w:val="20"/>
                <w:lang w:val="ru-RU" w:eastAsia="ru-RU" w:bidi="ar-SA"/>
              </w:rPr>
              <w:t>- выдача заключения о состоянии закладных частей;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ind w:left="33" w:hanging="0"/>
              <w:jc w:val="both"/>
              <w:rPr>
                <w:sz w:val="24"/>
                <w:szCs w:val="20"/>
              </w:rPr>
            </w:pPr>
            <w:r>
              <w:rPr>
                <w:rFonts w:eastAsia="Times New Roman" w:cs="Times New Roman"/>
                <w:kern w:val="0"/>
                <w:sz w:val="24"/>
                <w:szCs w:val="20"/>
                <w:lang w:val="ru-RU" w:eastAsia="ru-RU" w:bidi="ar-SA"/>
              </w:rPr>
              <w:t>- составление ведомостей технического состояния закладных частей;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ind w:left="33" w:hanging="0"/>
              <w:jc w:val="both"/>
              <w:rPr>
                <w:sz w:val="24"/>
                <w:szCs w:val="20"/>
              </w:rPr>
            </w:pPr>
            <w:r>
              <w:rPr>
                <w:rFonts w:eastAsia="Times New Roman" w:cs="Times New Roman"/>
                <w:kern w:val="0"/>
                <w:sz w:val="24"/>
                <w:szCs w:val="20"/>
                <w:lang w:val="ru-RU" w:eastAsia="ru-RU" w:bidi="ar-SA"/>
              </w:rPr>
              <w:t>- составление актов технического диагностирования;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ind w:left="33" w:hanging="0"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0"/>
                <w:lang w:val="ru-RU" w:eastAsia="ru-RU" w:bidi="ar-SA"/>
              </w:rPr>
              <w:t>- выдача рекомендаций по эксплуатации закладных частей;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- оформление приемо-сдаточной и отчетной документации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- акты дефектации должны быть вынесены в отдельное приложение отдельное от отчета (отчет должен содержать заключение о продлении/не продлении дальнейшей эксплуатации обследуемых закладных частей);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360" w:leader="none"/>
              </w:tabs>
              <w:suppressAutoHyphens w:val="true"/>
              <w:spacing w:before="0" w:after="0"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- отчет по инструментальному обследованию закладных частей формируется и передается Заказчику на согласование не позднее десяти рабочих дней с момента проведения инструментального обследования оборудования, согласование отчета производится Заказчиком в течение пятнадцати рабочих дней с момента получения отчета.</w:t>
            </w:r>
          </w:p>
        </w:tc>
        <w:tc>
          <w:tcPr>
            <w:tcW w:w="198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125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i/>
                <w:iCs/>
                <w:kern w:val="0"/>
                <w:sz w:val="24"/>
                <w:szCs w:val="24"/>
                <w:lang w:val="ru-RU" w:eastAsia="ru-RU" w:bidi="ar-SA"/>
              </w:rPr>
              <w:t>-</w:t>
            </w:r>
          </w:p>
        </w:tc>
        <w:tc>
          <w:tcPr>
            <w:tcW w:w="2126" w:type="dxa"/>
            <w:tcBorders/>
          </w:tcPr>
          <w:p>
            <w:pPr>
              <w:pStyle w:val="Style27"/>
              <w:keepNext w:val="false"/>
              <w:widowControl w:val="false"/>
              <w:numPr>
                <w:ilvl w:val="0"/>
                <w:numId w:val="0"/>
              </w:numPr>
              <w:suppressAutoHyphens w:val="true"/>
              <w:spacing w:before="0" w:after="60"/>
              <w:jc w:val="left"/>
              <w:outlineLvl w:val="2"/>
              <w:rPr>
                <w:rFonts w:ascii="Times New Roman" w:hAnsi="Times New Roman" w:cs="Times New Roman"/>
                <w:kern w:val="0"/>
                <w:lang w:bidi="ar-SA"/>
              </w:rPr>
            </w:pPr>
            <w:r>
              <w:rPr>
                <w:rFonts w:eastAsia="Times New Roman" w:cs="Times New Roman"/>
                <w:b w:val="false"/>
                <w:i/>
                <w:iCs/>
                <w:kern w:val="0"/>
                <w:sz w:val="20"/>
                <w:szCs w:val="20"/>
                <w:lang w:val="ru-RU" w:eastAsia="ru-RU" w:bidi="ar-SA"/>
              </w:rPr>
              <w:t>-</w:t>
            </w:r>
          </w:p>
        </w:tc>
      </w:tr>
      <w:tr>
        <w:trPr/>
        <w:tc>
          <w:tcPr>
            <w:tcW w:w="852" w:type="dxa"/>
            <w:tcBorders/>
          </w:tcPr>
          <w:p>
            <w:pPr>
              <w:pStyle w:val="Normal"/>
              <w:widowControl w:val="false"/>
              <w:suppressAutoHyphens w:val="true"/>
              <w:spacing w:before="60" w:after="60"/>
              <w:jc w:val="left"/>
              <w:rPr>
                <w:iCs/>
                <w:sz w:val="24"/>
                <w:szCs w:val="24"/>
                <w:lang w:val="en-US"/>
              </w:rPr>
            </w:pPr>
            <w:r>
              <w:rPr>
                <w:rFonts w:eastAsia="Times New Roman" w:cs="Times New Roman"/>
                <w:iCs/>
                <w:kern w:val="0"/>
                <w:sz w:val="24"/>
                <w:szCs w:val="24"/>
                <w:lang w:val="en-US" w:eastAsia="ru-RU" w:bidi="ar-SA"/>
              </w:rPr>
              <w:t>1.6.2.</w:t>
            </w:r>
          </w:p>
        </w:tc>
        <w:tc>
          <w:tcPr>
            <w:tcW w:w="2693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jc w:val="left"/>
              <w:rPr>
                <w:iCs/>
                <w:sz w:val="24"/>
                <w:szCs w:val="24"/>
              </w:rPr>
            </w:pPr>
            <w:r>
              <w:rPr>
                <w:rFonts w:eastAsia="Times New Roman" w:cs="Times New Roman"/>
                <w:iCs/>
                <w:kern w:val="0"/>
                <w:sz w:val="24"/>
                <w:szCs w:val="24"/>
                <w:lang w:val="ru-RU" w:eastAsia="ru-RU" w:bidi="ar-SA"/>
              </w:rPr>
              <w:t>Требования к оказанию услуг</w:t>
            </w:r>
          </w:p>
        </w:tc>
        <w:tc>
          <w:tcPr>
            <w:tcW w:w="5528" w:type="dxa"/>
            <w:tcBorders/>
          </w:tcPr>
          <w:p>
            <w:pPr>
              <w:pStyle w:val="Normal"/>
              <w:widowControl w:val="false"/>
              <w:numPr>
                <w:ilvl w:val="0"/>
                <w:numId w:val="12"/>
              </w:numPr>
              <w:tabs>
                <w:tab w:val="clear" w:pos="708"/>
                <w:tab w:val="left" w:pos="0" w:leader="none"/>
                <w:tab w:val="left" w:pos="72" w:leader="none"/>
              </w:tabs>
              <w:suppressAutoHyphens w:val="true"/>
              <w:spacing w:before="0" w:after="0"/>
              <w:ind w:left="0" w:hanging="0"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Услуги должны оказываться в полном соответствии с требованиями:</w:t>
            </w:r>
          </w:p>
          <w:p>
            <w:pPr>
              <w:pStyle w:val="Normal"/>
              <w:widowControl w:val="false"/>
              <w:numPr>
                <w:ilvl w:val="0"/>
                <w:numId w:val="8"/>
              </w:numPr>
              <w:tabs>
                <w:tab w:val="clear" w:pos="708"/>
                <w:tab w:val="left" w:pos="72" w:leader="none"/>
                <w:tab w:val="left" w:pos="644" w:leader="none"/>
              </w:tabs>
              <w:suppressAutoHyphens w:val="true"/>
              <w:spacing w:before="0" w:after="0"/>
              <w:ind w:left="33" w:hanging="0"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ГОСТ Р 55260.1.9-2013 Гидроэлектростанции. Часть 1-9. Сооружения ГЭС гидротехнические. Требования безопасности при эксплуатации;</w:t>
            </w:r>
          </w:p>
          <w:p>
            <w:pPr>
              <w:pStyle w:val="Normal"/>
              <w:widowControl w:val="false"/>
              <w:numPr>
                <w:ilvl w:val="0"/>
                <w:numId w:val="8"/>
              </w:numPr>
              <w:tabs>
                <w:tab w:val="clear" w:pos="708"/>
                <w:tab w:val="left" w:pos="72" w:leader="none"/>
                <w:tab w:val="left" w:pos="644" w:leader="none"/>
              </w:tabs>
              <w:suppressAutoHyphens w:val="true"/>
              <w:spacing w:before="0" w:after="0"/>
              <w:ind w:left="33" w:hanging="0"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СТО 17330282.27.140.017-2008 «Механическое оборудование гидротехнических сооружений ГЭС. Организация эксплуатации и технического обслуживания. Нормы и требования» (приложение №1 к настоящим Техническим требованиям);</w:t>
            </w:r>
          </w:p>
          <w:p>
            <w:pPr>
              <w:pStyle w:val="Normal"/>
              <w:widowControl w:val="false"/>
              <w:numPr>
                <w:ilvl w:val="0"/>
                <w:numId w:val="8"/>
              </w:numPr>
              <w:tabs>
                <w:tab w:val="clear" w:pos="708"/>
                <w:tab w:val="left" w:pos="72" w:leader="none"/>
                <w:tab w:val="left" w:pos="644" w:leader="none"/>
              </w:tabs>
              <w:suppressAutoHyphens w:val="true"/>
              <w:spacing w:before="0" w:after="0"/>
              <w:ind w:left="33" w:hanging="0"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СТО 17330282.27.140.001-2006 «Методики оценки технического состояния основного оборудования гидроэлектростанций» (приложение №2 к настоящим Техническим требованиям);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Указанные выше стандарты ПАО «РусГидро» не противоречат требованиям федерального законодательства, нормативной технической документации и ГОСТ, углубляют и конкретизируют их требования к выполнению работ/оказании услуг на объекте повышенной опасности – Новосибирская ГЭС.</w:t>
            </w:r>
          </w:p>
          <w:p>
            <w:pPr>
              <w:pStyle w:val="Normal"/>
              <w:widowControl w:val="false"/>
              <w:numPr>
                <w:ilvl w:val="0"/>
                <w:numId w:val="8"/>
              </w:numPr>
              <w:tabs>
                <w:tab w:val="clear" w:pos="708"/>
                <w:tab w:val="left" w:pos="644" w:leader="none"/>
              </w:tabs>
              <w:suppressAutoHyphens w:val="true"/>
              <w:spacing w:before="0" w:after="0"/>
              <w:ind w:left="33" w:hanging="0"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Федеральный закон от 10.01.2002 №7-ФЗ «Об охране окружающей среды»;</w:t>
            </w:r>
          </w:p>
          <w:p>
            <w:pPr>
              <w:pStyle w:val="Normal"/>
              <w:widowControl w:val="false"/>
              <w:numPr>
                <w:ilvl w:val="0"/>
                <w:numId w:val="8"/>
              </w:numPr>
              <w:tabs>
                <w:tab w:val="clear" w:pos="708"/>
                <w:tab w:val="left" w:pos="0" w:leader="none"/>
              </w:tabs>
              <w:suppressAutoHyphens w:val="true"/>
              <w:spacing w:before="0" w:after="0"/>
              <w:ind w:left="0" w:hanging="0"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Правила по охране труда при эксплуатации электроустановок, утв. Приказом Минтруда России от</w:t>
            </w:r>
            <w:r>
              <w:rPr>
                <w:rFonts w:eastAsia="Times New Roman" w:cs="Arial" w:ascii="Arial" w:hAnsi="Arial"/>
                <w:b/>
                <w:bCs/>
                <w:kern w:val="0"/>
                <w:shd w:fill="FFFFFF" w:val="clear"/>
                <w:lang w:val="ru-RU" w:eastAsia="ru-RU" w:bidi="ar-SA"/>
              </w:rPr>
              <w:t xml:space="preserve"> </w:t>
            </w: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15.12.2020 № 903н;</w:t>
            </w:r>
          </w:p>
          <w:p>
            <w:pPr>
              <w:pStyle w:val="Normal"/>
              <w:widowControl w:val="false"/>
              <w:numPr>
                <w:ilvl w:val="0"/>
                <w:numId w:val="8"/>
              </w:numPr>
              <w:tabs>
                <w:tab w:val="clear" w:pos="708"/>
                <w:tab w:val="left" w:pos="644" w:leader="none"/>
              </w:tabs>
              <w:suppressAutoHyphens w:val="true"/>
              <w:spacing w:before="0" w:after="0"/>
              <w:ind w:left="33" w:hanging="0"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Правила по охране труда при работе с инструментом и приспособлениями, утв. Приказом Минтруда России от 27.11.2020 года № 835н;</w:t>
            </w:r>
          </w:p>
          <w:p>
            <w:pPr>
              <w:pStyle w:val="Normal"/>
              <w:widowControl w:val="false"/>
              <w:numPr>
                <w:ilvl w:val="0"/>
                <w:numId w:val="8"/>
              </w:numPr>
              <w:tabs>
                <w:tab w:val="clear" w:pos="708"/>
                <w:tab w:val="left" w:pos="644" w:leader="none"/>
              </w:tabs>
              <w:suppressAutoHyphens w:val="true"/>
              <w:spacing w:before="0" w:after="0"/>
              <w:ind w:left="33" w:hanging="0"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Правила по охране труда при работе на высоте, утв. Приказом Минтруда России от 16.11.2020 № 782н;</w:t>
            </w:r>
          </w:p>
          <w:p>
            <w:pPr>
              <w:pStyle w:val="Normal"/>
              <w:widowControl w:val="false"/>
              <w:numPr>
                <w:ilvl w:val="0"/>
                <w:numId w:val="8"/>
              </w:numPr>
              <w:tabs>
                <w:tab w:val="clear" w:pos="708"/>
                <w:tab w:val="left" w:pos="644" w:leader="none"/>
              </w:tabs>
              <w:suppressAutoHyphens w:val="true"/>
              <w:spacing w:before="0" w:after="0"/>
              <w:ind w:left="33" w:hanging="0"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iCs/>
                <w:kern w:val="0"/>
                <w:sz w:val="24"/>
                <w:szCs w:val="24"/>
                <w:lang w:val="ru-RU" w:eastAsia="ru-RU" w:bidi="ar-SA"/>
              </w:rPr>
              <w:t>Правила по охране труда при выполнении водолазных</w:t>
            </w:r>
            <w:r>
              <w:rPr>
                <w:rFonts w:eastAsia="Times New Roman" w:cs="Times New Roman"/>
                <w:bCs/>
                <w:kern w:val="0"/>
                <w:sz w:val="24"/>
                <w:szCs w:val="24"/>
                <w:shd w:fill="FFFFFF" w:val="clear"/>
                <w:lang w:val="ru-RU" w:eastAsia="ru-RU" w:bidi="ar-SA"/>
              </w:rPr>
              <w:t xml:space="preserve"> работ, </w:t>
            </w:r>
            <w:r>
              <w:rPr>
                <w:rFonts w:eastAsia="Times New Roman" w:cs="Times New Roman"/>
                <w:iCs/>
                <w:kern w:val="0"/>
                <w:sz w:val="24"/>
                <w:szCs w:val="24"/>
                <w:lang w:val="ru-RU" w:eastAsia="ru-RU" w:bidi="ar-SA"/>
              </w:rPr>
              <w:t xml:space="preserve">утв. Приказом Минтруда России от  17.12.2020 </w:t>
            </w:r>
            <w:r>
              <w:rPr>
                <w:rFonts w:eastAsia="Times New Roman" w:cs="Times New Roman"/>
                <w:bCs/>
                <w:kern w:val="0"/>
                <w:sz w:val="24"/>
                <w:szCs w:val="24"/>
                <w:shd w:fill="FFFFFF" w:val="clear"/>
                <w:lang w:val="ru-RU" w:eastAsia="ru-RU" w:bidi="ar-SA"/>
              </w:rPr>
              <w:t>№ 922н;</w:t>
            </w:r>
          </w:p>
          <w:p>
            <w:pPr>
              <w:pStyle w:val="Normal"/>
              <w:widowControl w:val="false"/>
              <w:numPr>
                <w:ilvl w:val="0"/>
                <w:numId w:val="8"/>
              </w:numPr>
              <w:suppressAutoHyphens w:val="true"/>
              <w:spacing w:before="0" w:after="0"/>
              <w:ind w:left="29" w:hanging="29"/>
              <w:jc w:val="both"/>
              <w:rPr>
                <w:sz w:val="24"/>
                <w:szCs w:val="24"/>
              </w:rPr>
            </w:pPr>
            <w:bookmarkStart w:id="3" w:name="_Hlk98840751"/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Федеральные нормы и правила в области промышленной безопасности «Основные требования к проведению неразрушающего контроля технических устройств, зданий и сооружений на опасных производственных объектах»</w:t>
            </w:r>
            <w:bookmarkEnd w:id="3"/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 xml:space="preserve"> (утверждены приказом Федеральной службы по экологическому, технологическому</w:t>
              <w:br/>
              <w:t>и атомному надзору</w:t>
            </w:r>
            <w:hyperlink r:id="rId5">
              <w:r>
                <w:rPr>
                  <w:rFonts w:eastAsia="Times New Roman" w:cs="Times New Roman"/>
                  <w:kern w:val="0"/>
                  <w:sz w:val="24"/>
                  <w:szCs w:val="24"/>
                  <w:lang w:val="ru-RU" w:eastAsia="ru-RU" w:bidi="ar-SA"/>
                </w:rPr>
                <w:t xml:space="preserve"> от 01.12.2020 № 478</w:t>
              </w:r>
            </w:hyperlink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);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ind w:left="33" w:hanging="0"/>
              <w:jc w:val="both"/>
              <w:rPr>
                <w:spacing w:val="2"/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 xml:space="preserve">2) </w:t>
            </w:r>
            <w:r>
              <w:rPr>
                <w:rFonts w:eastAsia="Times New Roman" w:cs="Times New Roman"/>
                <w:spacing w:val="2"/>
                <w:kern w:val="0"/>
                <w:sz w:val="24"/>
                <w:szCs w:val="24"/>
                <w:lang w:val="ru-RU" w:eastAsia="ru-RU" w:bidi="ar-SA"/>
              </w:rPr>
              <w:t>Допуск персонала Исполнителя для оказания услуг осуществляется в соответствии с: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ind w:left="33" w:hanging="0"/>
              <w:jc w:val="both"/>
              <w:rPr>
                <w:spacing w:val="2"/>
                <w:sz w:val="24"/>
                <w:szCs w:val="24"/>
              </w:rPr>
            </w:pPr>
            <w:r>
              <w:rPr>
                <w:rFonts w:eastAsia="Times New Roman" w:cs="Times New Roman"/>
                <w:spacing w:val="2"/>
                <w:kern w:val="0"/>
                <w:sz w:val="24"/>
                <w:szCs w:val="24"/>
                <w:lang w:val="ru-RU" w:eastAsia="ru-RU" w:bidi="ar-SA"/>
              </w:rPr>
              <w:t>- Положение о пропускном и внутриобъектовом режимах (приложение №3 к настоящим Техническим требованиям);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644" w:leader="none"/>
              </w:tabs>
              <w:suppressAutoHyphens w:val="true"/>
              <w:spacing w:before="0" w:after="0"/>
              <w:ind w:left="33" w:hanging="0"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3) Услуги оказываются с оформлением необходимых нарядов-допусков;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ind w:left="33" w:hanging="0"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 xml:space="preserve">4) Отчет и программы по инструментальному обследованию закладных частей предоставить в бумажном виде – 2 экз. и в электронном виде – 1 экз. (в редактируемых форматах </w:t>
            </w:r>
            <w:r>
              <w:rPr>
                <w:rFonts w:eastAsia="Times New Roman" w:cs="Times New Roman"/>
                <w:kern w:val="0"/>
                <w:sz w:val="24"/>
                <w:szCs w:val="24"/>
                <w:lang w:val="en-US" w:eastAsia="ru-RU" w:bidi="ar-SA"/>
              </w:rPr>
              <w:t>DWG</w:t>
            </w: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 xml:space="preserve">, </w:t>
            </w:r>
            <w:r>
              <w:rPr>
                <w:rFonts w:eastAsia="Times New Roman" w:cs="Times New Roman"/>
                <w:kern w:val="0"/>
                <w:sz w:val="24"/>
                <w:szCs w:val="24"/>
                <w:lang w:val="en-US" w:eastAsia="ru-RU" w:bidi="ar-SA"/>
              </w:rPr>
              <w:t>Word</w:t>
            </w: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 xml:space="preserve">, </w:t>
            </w:r>
            <w:r>
              <w:rPr>
                <w:rFonts w:eastAsia="Times New Roman" w:cs="Times New Roman"/>
                <w:kern w:val="0"/>
                <w:sz w:val="24"/>
                <w:szCs w:val="24"/>
                <w:lang w:val="en-US" w:eastAsia="ru-RU" w:bidi="ar-SA"/>
              </w:rPr>
              <w:t>Excel</w:t>
            </w: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 xml:space="preserve">, </w:t>
            </w:r>
            <w:r>
              <w:rPr>
                <w:rFonts w:eastAsia="Times New Roman" w:cs="Times New Roman"/>
                <w:kern w:val="0"/>
                <w:sz w:val="24"/>
                <w:szCs w:val="24"/>
                <w:lang w:val="en-US" w:eastAsia="ru-RU" w:bidi="ar-SA"/>
              </w:rPr>
              <w:t>PDF</w:t>
            </w: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).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jc w:val="both"/>
              <w:rPr>
                <w:i/>
                <w:i/>
                <w:iCs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5) Слив технических жидкостей, сброс отходов на территорию Заказчика и в водные объекты не допускается.</w:t>
            </w:r>
          </w:p>
        </w:tc>
        <w:tc>
          <w:tcPr>
            <w:tcW w:w="198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125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iCs/>
                <w:kern w:val="0"/>
                <w:sz w:val="24"/>
                <w:szCs w:val="24"/>
                <w:lang w:val="ru-RU" w:eastAsia="ru-RU" w:bidi="ar-SA"/>
              </w:rPr>
              <w:t>-</w:t>
            </w:r>
          </w:p>
        </w:tc>
        <w:tc>
          <w:tcPr>
            <w:tcW w:w="2126" w:type="dxa"/>
            <w:tcBorders/>
          </w:tcPr>
          <w:p>
            <w:pPr>
              <w:pStyle w:val="Style27"/>
              <w:keepNext w:val="false"/>
              <w:widowControl w:val="false"/>
              <w:numPr>
                <w:ilvl w:val="0"/>
                <w:numId w:val="0"/>
              </w:numPr>
              <w:suppressAutoHyphens w:val="true"/>
              <w:spacing w:before="0" w:after="60"/>
              <w:jc w:val="left"/>
              <w:outlineLvl w:val="2"/>
              <w:rPr>
                <w:rFonts w:ascii="Times New Roman" w:hAnsi="Times New Roman" w:cs="Times New Roman"/>
                <w:kern w:val="0"/>
                <w:lang w:bidi="ar-SA"/>
              </w:rPr>
            </w:pPr>
            <w:r>
              <w:rPr>
                <w:rFonts w:eastAsia="Times New Roman" w:cs="Times New Roman"/>
                <w:b w:val="false"/>
                <w:i/>
                <w:iCs/>
                <w:kern w:val="0"/>
                <w:sz w:val="20"/>
                <w:szCs w:val="20"/>
                <w:lang w:val="ru-RU" w:eastAsia="ru-RU" w:bidi="ar-SA"/>
              </w:rPr>
              <w:t>-</w:t>
            </w:r>
          </w:p>
        </w:tc>
      </w:tr>
      <w:tr>
        <w:trPr>
          <w:trHeight w:val="253" w:hRule="atLeast"/>
        </w:trPr>
        <w:tc>
          <w:tcPr>
            <w:tcW w:w="852" w:type="dxa"/>
            <w:tcBorders/>
            <w:vAlign w:val="center"/>
          </w:tcPr>
          <w:p>
            <w:pPr>
              <w:pStyle w:val="ListParagraph"/>
              <w:widowControl w:val="false"/>
              <w:suppressAutoHyphens w:val="true"/>
              <w:spacing w:before="60" w:after="60"/>
              <w:ind w:left="25" w:hanging="0"/>
              <w:contextualSpacing/>
              <w:jc w:val="left"/>
              <w:rPr>
                <w:iCs/>
                <w:lang w:val="en-US"/>
              </w:rPr>
            </w:pPr>
            <w:r>
              <w:rPr>
                <w:rFonts w:cs="Times New Roman"/>
                <w:iCs/>
                <w:kern w:val="0"/>
                <w:lang w:val="en-US" w:eastAsia="ru-RU" w:bidi="ar-SA"/>
              </w:rPr>
              <w:t>1.7.</w:t>
            </w:r>
          </w:p>
        </w:tc>
        <w:tc>
          <w:tcPr>
            <w:tcW w:w="8221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>Требования к этапам оказания услуг</w:t>
            </w:r>
          </w:p>
        </w:tc>
        <w:tc>
          <w:tcPr>
            <w:tcW w:w="1984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jc w:val="center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-//-</w:t>
            </w:r>
          </w:p>
        </w:tc>
        <w:tc>
          <w:tcPr>
            <w:tcW w:w="2125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jc w:val="center"/>
              <w:rPr>
                <w:b/>
                <w:i/>
                <w:i/>
                <w:iCs/>
              </w:rPr>
            </w:pPr>
            <w:r>
              <w:rPr>
                <w:rFonts w:eastAsia="Times New Roman" w:cs="Times New Roman"/>
                <w:i/>
                <w:iCs/>
                <w:kern w:val="0"/>
                <w:lang w:val="ru-RU" w:eastAsia="ru-RU" w:bidi="ar-SA"/>
              </w:rPr>
              <w:t>-//-</w:t>
            </w:r>
          </w:p>
        </w:tc>
        <w:tc>
          <w:tcPr>
            <w:tcW w:w="2126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jc w:val="center"/>
              <w:rPr>
                <w:b/>
                <w:i/>
                <w:i/>
                <w:iCs/>
              </w:rPr>
            </w:pPr>
            <w:r>
              <w:rPr>
                <w:rFonts w:eastAsia="Times New Roman" w:cs="Times New Roman"/>
                <w:i/>
                <w:iCs/>
                <w:kern w:val="0"/>
                <w:lang w:val="ru-RU" w:eastAsia="ru-RU" w:bidi="ar-SA"/>
              </w:rPr>
              <w:t>-//-</w:t>
            </w:r>
          </w:p>
        </w:tc>
      </w:tr>
      <w:tr>
        <w:trPr/>
        <w:tc>
          <w:tcPr>
            <w:tcW w:w="852" w:type="dxa"/>
            <w:tcBorders/>
          </w:tcPr>
          <w:p>
            <w:pPr>
              <w:pStyle w:val="ListParagraph"/>
              <w:widowControl w:val="false"/>
              <w:suppressAutoHyphens w:val="true"/>
              <w:spacing w:before="60" w:after="60"/>
              <w:ind w:left="25" w:hanging="0"/>
              <w:contextualSpacing/>
              <w:jc w:val="left"/>
              <w:rPr>
                <w:iCs/>
                <w:lang w:val="en-US"/>
              </w:rPr>
            </w:pPr>
            <w:r>
              <w:rPr>
                <w:rFonts w:cs="Times New Roman"/>
                <w:iCs/>
                <w:kern w:val="0"/>
                <w:lang w:val="en-US" w:eastAsia="ru-RU" w:bidi="ar-SA"/>
              </w:rPr>
              <w:t>1.7.1.</w:t>
            </w:r>
          </w:p>
        </w:tc>
        <w:tc>
          <w:tcPr>
            <w:tcW w:w="2693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jc w:val="left"/>
              <w:rPr>
                <w:i/>
                <w:i/>
                <w:iCs/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Обследование водосливной плотины и здания ГЭС Новосибирской ГЭС в части закладных частей затворов.</w:t>
            </w:r>
          </w:p>
        </w:tc>
        <w:tc>
          <w:tcPr>
            <w:tcW w:w="5528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Cs/>
                <w:sz w:val="24"/>
                <w:szCs w:val="24"/>
              </w:rPr>
            </w:pPr>
            <w:r>
              <w:rPr>
                <w:rFonts w:eastAsia="Times New Roman" w:cs="Times New Roman"/>
                <w:iCs/>
                <w:kern w:val="0"/>
                <w:sz w:val="24"/>
                <w:szCs w:val="24"/>
                <w:lang w:val="ru-RU" w:eastAsia="ru-RU" w:bidi="ar-SA"/>
              </w:rPr>
              <w:t>В соответствии с пунктами 1.5 и 1.6.1 настоящих Технических требований</w:t>
            </w:r>
          </w:p>
        </w:tc>
        <w:tc>
          <w:tcPr>
            <w:tcW w:w="198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125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i/>
                <w:iCs/>
                <w:kern w:val="0"/>
                <w:sz w:val="24"/>
                <w:szCs w:val="24"/>
                <w:lang w:val="ru-RU" w:eastAsia="ru-RU" w:bidi="ar-SA"/>
              </w:rPr>
              <w:t>-</w:t>
            </w:r>
          </w:p>
        </w:tc>
        <w:tc>
          <w:tcPr>
            <w:tcW w:w="2126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jc w:val="center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/>
                <w:i/>
                <w:iCs/>
                <w:kern w:val="0"/>
                <w:lang w:val="ru-RU" w:eastAsia="ru-RU" w:bidi="ar-SA"/>
              </w:rPr>
              <w:t>-</w:t>
            </w:r>
          </w:p>
        </w:tc>
      </w:tr>
      <w:tr>
        <w:trPr/>
        <w:tc>
          <w:tcPr>
            <w:tcW w:w="852" w:type="dxa"/>
            <w:tcBorders/>
            <w:vAlign w:val="center"/>
          </w:tcPr>
          <w:p>
            <w:pPr>
              <w:pStyle w:val="ListParagraph"/>
              <w:widowControl w:val="false"/>
              <w:suppressAutoHyphens w:val="true"/>
              <w:spacing w:before="60" w:after="60"/>
              <w:ind w:left="25" w:hanging="0"/>
              <w:contextualSpacing/>
              <w:jc w:val="left"/>
              <w:rPr>
                <w:iCs/>
              </w:rPr>
            </w:pPr>
            <w:r>
              <w:rPr>
                <w:rFonts w:cs="Times New Roman"/>
                <w:iCs/>
                <w:kern w:val="0"/>
                <w:lang w:val="ru-RU" w:eastAsia="ru-RU" w:bidi="ar-SA"/>
              </w:rPr>
              <w:t>1.8.</w:t>
            </w:r>
          </w:p>
        </w:tc>
        <w:tc>
          <w:tcPr>
            <w:tcW w:w="8221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>Требования к результату услуг и форме его предоставления</w:t>
            </w:r>
          </w:p>
        </w:tc>
        <w:tc>
          <w:tcPr>
            <w:tcW w:w="198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-//-</w:t>
            </w:r>
          </w:p>
        </w:tc>
        <w:tc>
          <w:tcPr>
            <w:tcW w:w="2125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i/>
                <w:i/>
                <w:iCs/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iCs/>
                <w:kern w:val="0"/>
                <w:lang w:val="ru-RU" w:eastAsia="ru-RU" w:bidi="ar-SA"/>
              </w:rPr>
              <w:t>-//-</w:t>
            </w:r>
          </w:p>
        </w:tc>
        <w:tc>
          <w:tcPr>
            <w:tcW w:w="2126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i/>
                <w:i/>
                <w:iCs/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iCs/>
                <w:kern w:val="0"/>
                <w:lang w:val="ru-RU" w:eastAsia="ru-RU" w:bidi="ar-SA"/>
              </w:rPr>
              <w:t>-//-</w:t>
            </w:r>
          </w:p>
        </w:tc>
      </w:tr>
      <w:tr>
        <w:trPr>
          <w:trHeight w:val="1749" w:hRule="atLeast"/>
        </w:trPr>
        <w:tc>
          <w:tcPr>
            <w:tcW w:w="852" w:type="dxa"/>
            <w:tcBorders/>
          </w:tcPr>
          <w:p>
            <w:pPr>
              <w:pStyle w:val="ListParagraph"/>
              <w:widowControl w:val="false"/>
              <w:suppressAutoHyphens w:val="true"/>
              <w:spacing w:before="60" w:after="60"/>
              <w:ind w:left="25" w:hanging="0"/>
              <w:contextualSpacing/>
              <w:jc w:val="left"/>
              <w:rPr>
                <w:iCs/>
              </w:rPr>
            </w:pPr>
            <w:r>
              <w:rPr>
                <w:rFonts w:cs="Times New Roman"/>
                <w:iCs/>
                <w:kern w:val="0"/>
                <w:lang w:val="ru-RU" w:eastAsia="ru-RU" w:bidi="ar-SA"/>
              </w:rPr>
              <w:t>1.8.1.</w:t>
            </w:r>
          </w:p>
        </w:tc>
        <w:tc>
          <w:tcPr>
            <w:tcW w:w="2693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jc w:val="left"/>
              <w:rPr>
                <w:i/>
                <w:i/>
                <w:iCs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Обследование водосливной плотины и здания ГЭС Новосибирской ГЭС в части закладных частей затворов.</w:t>
            </w:r>
          </w:p>
        </w:tc>
        <w:tc>
          <w:tcPr>
            <w:tcW w:w="5528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- Программа по инструментальному обследованию закладных частей;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- Отчет по инструментальному обследованию закладных частей;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- Акты дефектации закладных частей.</w:t>
            </w:r>
          </w:p>
        </w:tc>
        <w:tc>
          <w:tcPr>
            <w:tcW w:w="198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125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-</w:t>
            </w:r>
          </w:p>
        </w:tc>
        <w:tc>
          <w:tcPr>
            <w:tcW w:w="2126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jc w:val="center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/>
                <w:bCs/>
                <w:i/>
                <w:iCs/>
                <w:kern w:val="0"/>
                <w:lang w:val="ru-RU" w:eastAsia="ru-RU" w:bidi="ar-SA"/>
              </w:rPr>
              <w:t>-</w:t>
            </w:r>
          </w:p>
        </w:tc>
      </w:tr>
      <w:tr>
        <w:trPr/>
        <w:tc>
          <w:tcPr>
            <w:tcW w:w="852" w:type="dxa"/>
            <w:tcBorders/>
            <w:vAlign w:val="center"/>
          </w:tcPr>
          <w:p>
            <w:pPr>
              <w:pStyle w:val="ListParagraph"/>
              <w:widowControl w:val="false"/>
              <w:suppressAutoHyphens w:val="true"/>
              <w:spacing w:before="60" w:after="60"/>
              <w:ind w:left="25" w:hanging="0"/>
              <w:contextualSpacing/>
              <w:jc w:val="left"/>
              <w:rPr>
                <w:iCs/>
              </w:rPr>
            </w:pPr>
            <w:r>
              <w:rPr>
                <w:rFonts w:cs="Times New Roman"/>
                <w:iCs/>
                <w:kern w:val="0"/>
                <w:lang w:val="ru-RU" w:eastAsia="ru-RU" w:bidi="ar-SA"/>
              </w:rPr>
              <w:t>1.9.</w:t>
            </w:r>
          </w:p>
        </w:tc>
        <w:tc>
          <w:tcPr>
            <w:tcW w:w="8221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napToGrid w:val="false"/>
              <w:spacing w:before="0" w:after="0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>Прочие требования к оказанию услуг</w:t>
            </w:r>
          </w:p>
        </w:tc>
        <w:tc>
          <w:tcPr>
            <w:tcW w:w="198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i/>
                <w:i/>
                <w:iCs/>
              </w:rPr>
            </w:pPr>
            <w:r>
              <w:rPr>
                <w:rFonts w:eastAsia="Times New Roman" w:cs="Times New Roman"/>
                <w:i/>
                <w:iCs/>
                <w:kern w:val="0"/>
                <w:lang w:val="ru-RU" w:eastAsia="ru-RU" w:bidi="ar-SA"/>
              </w:rPr>
              <w:t>-//-</w:t>
            </w:r>
          </w:p>
        </w:tc>
        <w:tc>
          <w:tcPr>
            <w:tcW w:w="2125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i/>
                <w:i/>
                <w:iCs/>
              </w:rPr>
            </w:pPr>
            <w:r>
              <w:rPr>
                <w:rFonts w:eastAsia="Times New Roman" w:cs="Times New Roman"/>
                <w:i/>
                <w:iCs/>
                <w:kern w:val="0"/>
                <w:lang w:val="ru-RU" w:eastAsia="ru-RU" w:bidi="ar-SA"/>
              </w:rPr>
              <w:t>-//-</w:t>
            </w:r>
          </w:p>
        </w:tc>
        <w:tc>
          <w:tcPr>
            <w:tcW w:w="2126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i/>
                <w:i/>
                <w:iCs/>
              </w:rPr>
            </w:pPr>
            <w:r>
              <w:rPr>
                <w:rFonts w:eastAsia="Times New Roman" w:cs="Times New Roman"/>
                <w:i/>
                <w:iCs/>
                <w:kern w:val="0"/>
                <w:lang w:val="ru-RU" w:eastAsia="ru-RU" w:bidi="ar-SA"/>
              </w:rPr>
              <w:t>-//-</w:t>
            </w:r>
          </w:p>
        </w:tc>
      </w:tr>
      <w:tr>
        <w:trPr/>
        <w:tc>
          <w:tcPr>
            <w:tcW w:w="852" w:type="dxa"/>
            <w:tcBorders/>
          </w:tcPr>
          <w:p>
            <w:pPr>
              <w:pStyle w:val="ListParagraph"/>
              <w:widowControl w:val="false"/>
              <w:suppressAutoHyphens w:val="true"/>
              <w:spacing w:before="60" w:after="60"/>
              <w:ind w:left="25" w:hanging="0"/>
              <w:contextualSpacing/>
              <w:jc w:val="left"/>
              <w:rPr>
                <w:iCs/>
              </w:rPr>
            </w:pPr>
            <w:r>
              <w:rPr>
                <w:rFonts w:cs="Times New Roman"/>
                <w:iCs/>
                <w:kern w:val="0"/>
                <w:lang w:val="ru-RU" w:eastAsia="ru-RU" w:bidi="ar-SA"/>
              </w:rPr>
              <w:t>1.9.1.</w:t>
            </w:r>
          </w:p>
        </w:tc>
        <w:tc>
          <w:tcPr>
            <w:tcW w:w="2693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120"/>
              <w:jc w:val="left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ru-RU" w:eastAsia="ru-RU" w:bidi="ar-SA"/>
              </w:rPr>
              <w:t>Требования к Исполнителю:</w:t>
            </w:r>
          </w:p>
        </w:tc>
        <w:tc>
          <w:tcPr>
            <w:tcW w:w="5528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Наличие собственного квалифицированного и аттестованного инженерно-технического персонала необходимого для выполнения инструментального обследования в количестве не менее четырех человек, в том числе: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ind w:firstLine="283"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- Руководитель организации уполномоченный подписывать отчет по инструментальному обследованию (аттестованный в соответствии с требованиями статьи 14.1 Федерального закона от 21 июля 1997 г. № 116-ФЗ) "О промышленной безопасности опасных производственных объектов");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- Специалист второго уровня по ультразвуковому контролю (УК), аттестованный в соответствии с требованиями "СДАНК-02-2020. Правила аттестации персонала в области неразрушающего контроля" (приняты решением Наблюдательного совета Единой системы оценки соответствия в области промышленной, экологической безопасности, безопасности в энергетике и строительстве от 29.12.2020 N 99-БНС);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- Специалист второго уровня по капиллярному контролю (ПВК), аттестованный в соответствии с требованиями "СДАНК-02-2020. Правила аттестации персонала в области неразрушающего контроля" (приняты решением Наблюдательного совета Единой системы оценки соответствия в области промышленной, экологической безопасности, безопасности в энергетике и строительстве от 29.12.2020 N 99-БНС);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- Руководитель лаборатории разрушающего контроля (НК), аттестованной в  соответствии с требованиями "СДАНК-01-2020. Правила аттестации и основные требования к лабораториям неразрушающего контроля".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ind w:firstLine="283"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С перечисленными работниками Исполнитель должен иметь трудовые отношения (предоставление копий подтверждающих документов (форма 1-Т) обязательно).</w:t>
            </w:r>
          </w:p>
        </w:tc>
        <w:tc>
          <w:tcPr>
            <w:tcW w:w="1984" w:type="dxa"/>
            <w:tcBorders/>
          </w:tcPr>
          <w:p>
            <w:pPr>
              <w:pStyle w:val="Style27"/>
              <w:keepNext w:val="false"/>
              <w:widowControl w:val="false"/>
              <w:numPr>
                <w:ilvl w:val="0"/>
                <w:numId w:val="0"/>
              </w:numPr>
              <w:suppressAutoHyphens w:val="true"/>
              <w:spacing w:before="0" w:after="60"/>
              <w:jc w:val="left"/>
              <w:outlineLvl w:val="2"/>
              <w:rPr>
                <w:rFonts w:eastAsia="Times New Roman"/>
                <w:b w:val="false"/>
                <w:lang w:val="ru-RU" w:eastAsia="ru-RU"/>
              </w:rPr>
            </w:pPr>
            <w:r>
              <w:rPr>
                <w:rFonts w:eastAsia="Times New Roman" w:cs="Times New Roman"/>
                <w:b w:val="false"/>
                <w:kern w:val="0"/>
                <w:sz w:val="20"/>
                <w:szCs w:val="20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125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0" w:after="0"/>
              <w:jc w:val="both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iCs/>
                <w:kern w:val="0"/>
                <w:sz w:val="24"/>
                <w:szCs w:val="24"/>
                <w:lang w:val="ru-RU" w:eastAsia="ru-RU" w:bidi="ar-SA"/>
              </w:rPr>
              <w:t>Соответствие установленному требованию подтверждается путем представления Исполнителем до начала оказания услуг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0" w:after="0"/>
              <w:jc w:val="both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iCs/>
                <w:kern w:val="0"/>
                <w:sz w:val="24"/>
                <w:szCs w:val="24"/>
                <w:lang w:val="ru-RU" w:eastAsia="ru-RU" w:bidi="ar-SA"/>
              </w:rPr>
              <w:t>документов, подтверждающих квалификацию персонала, а также наличие трудовых отношений с работниками, указанными в п.1.9.1. раздела 2.2. настоящих Технических требований</w:t>
            </w:r>
          </w:p>
        </w:tc>
        <w:tc>
          <w:tcPr>
            <w:tcW w:w="2126" w:type="dxa"/>
            <w:tcBorders/>
          </w:tcPr>
          <w:p>
            <w:pPr>
              <w:pStyle w:val="Style27"/>
              <w:keepNext w:val="false"/>
              <w:widowControl w:val="false"/>
              <w:numPr>
                <w:ilvl w:val="0"/>
                <w:numId w:val="0"/>
              </w:numPr>
              <w:suppressAutoHyphens w:val="true"/>
              <w:spacing w:before="0" w:after="60"/>
              <w:jc w:val="left"/>
              <w:outlineLvl w:val="2"/>
              <w:rPr>
                <w:i/>
                <w:i/>
                <w:iCs/>
                <w:lang w:val="ru-RU"/>
              </w:rPr>
            </w:pPr>
            <w:r>
              <w:rPr>
                <w:rFonts w:eastAsia="Times New Roman" w:cs="Times New Roman"/>
                <w:i/>
                <w:iCs/>
                <w:kern w:val="0"/>
                <w:sz w:val="20"/>
                <w:szCs w:val="20"/>
                <w:lang w:val="ru-RU" w:eastAsia="ru-RU" w:bidi="ar-SA"/>
              </w:rPr>
              <w:t>-</w:t>
            </w:r>
          </w:p>
        </w:tc>
      </w:tr>
      <w:tr>
        <w:trPr/>
        <w:tc>
          <w:tcPr>
            <w:tcW w:w="852" w:type="dxa"/>
            <w:tcBorders/>
          </w:tcPr>
          <w:p>
            <w:pPr>
              <w:pStyle w:val="ListParagraph"/>
              <w:widowControl w:val="false"/>
              <w:suppressAutoHyphens w:val="true"/>
              <w:spacing w:before="60" w:after="60"/>
              <w:ind w:left="25" w:hanging="0"/>
              <w:contextualSpacing/>
              <w:jc w:val="left"/>
              <w:rPr>
                <w:iCs/>
              </w:rPr>
            </w:pPr>
            <w:r>
              <w:rPr>
                <w:rFonts w:cs="Times New Roman"/>
                <w:iCs/>
                <w:kern w:val="0"/>
                <w:lang w:val="ru-RU" w:eastAsia="ru-RU" w:bidi="ar-SA"/>
              </w:rPr>
              <w:t>1.9.2.</w:t>
            </w:r>
          </w:p>
        </w:tc>
        <w:tc>
          <w:tcPr>
            <w:tcW w:w="2693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120"/>
              <w:jc w:val="left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ru-RU" w:eastAsia="ru-RU" w:bidi="ar-SA"/>
              </w:rPr>
              <w:t>Требования к материально-техническим ресурсам</w:t>
            </w:r>
          </w:p>
        </w:tc>
        <w:tc>
          <w:tcPr>
            <w:tcW w:w="5528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ind w:firstLine="283"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Минимально необходимый перечень инструментов, приспособлений и механизмов (подтвердить в Справке о материально-технических ресурсах):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ind w:firstLine="283"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- микроскоп (определение структуры стали);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ind w:firstLine="283"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- толщиномер ультразвуковой (определение толщины металла от 1 мм до 50 мм);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ind w:firstLine="283"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- дефектоскоп ультразвуковой (выявление дефектов в сварных швах и основном металле);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ind w:firstLine="283"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- твердомер (определение твердости стали);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ind w:firstLine="283"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-фотоаппарат (фиксация дефектов);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ind w:firstLine="283"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- дефектоскоп магнитопорошковый (выявление дефектов в сварных швах и основном металле);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ind w:firstLine="283"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- универсальный шаблон сварщика (контроль сварных швов);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ind w:firstLine="283"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- угольник поверочный (контроль сварных швов);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ind w:firstLine="283"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- угловая шлифмашинка (подготовка сварных швов и металлоконструкций);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ind w:firstLine="283"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- линейно измерительные приборы (линейные измерения);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ind w:firstLine="283"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- набор для капиллярной дефектоскопии (контроль металла);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- струбцины и струна (определение прогибов конструкций).</w:t>
            </w:r>
          </w:p>
        </w:tc>
        <w:tc>
          <w:tcPr>
            <w:tcW w:w="1984" w:type="dxa"/>
            <w:tcBorders/>
          </w:tcPr>
          <w:p>
            <w:pPr>
              <w:pStyle w:val="Style27"/>
              <w:keepNext w:val="false"/>
              <w:widowControl w:val="false"/>
              <w:numPr>
                <w:ilvl w:val="0"/>
                <w:numId w:val="0"/>
              </w:numPr>
              <w:suppressAutoHyphens w:val="true"/>
              <w:spacing w:before="0" w:after="60"/>
              <w:jc w:val="left"/>
              <w:outlineLvl w:val="2"/>
              <w:rPr>
                <w:b w:val="false"/>
                <w:i/>
                <w:i/>
                <w:iCs/>
                <w:lang w:val="ru-RU"/>
              </w:rPr>
            </w:pPr>
            <w:r>
              <w:rPr>
                <w:rFonts w:eastAsia="Times New Roman" w:cs="Times New Roman"/>
                <w:b w:val="false"/>
                <w:i/>
                <w:iCs/>
                <w:kern w:val="0"/>
                <w:sz w:val="20"/>
                <w:szCs w:val="20"/>
                <w:lang w:val="ru-RU" w:eastAsia="ru-RU" w:bidi="ar-SA"/>
              </w:rPr>
              <w:t>-</w:t>
            </w:r>
          </w:p>
        </w:tc>
        <w:tc>
          <w:tcPr>
            <w:tcW w:w="2125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jc w:val="both"/>
              <w:rPr>
                <w:b/>
                <w:iCs/>
              </w:rPr>
            </w:pPr>
            <w:r>
              <w:rPr>
                <w:rFonts w:eastAsia="Times New Roman" w:cs="Times New Roman"/>
                <w:iCs/>
                <w:kern w:val="0"/>
                <w:sz w:val="24"/>
                <w:szCs w:val="24"/>
                <w:lang w:val="ru-RU" w:eastAsia="ru-RU" w:bidi="ar-SA"/>
              </w:rPr>
              <w:t>Соответствие установленному требованию подтверждается путем представления Исполнителем до начала оказания услуг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jc w:val="both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iCs/>
                <w:kern w:val="0"/>
                <w:sz w:val="24"/>
                <w:szCs w:val="24"/>
                <w:lang w:val="ru-RU" w:eastAsia="ru-RU" w:bidi="ar-SA"/>
              </w:rPr>
              <w:t>документов, подтверждающих минимально необходимый перечень инструментов, приспособлений и механизмов.</w:t>
            </w:r>
          </w:p>
        </w:tc>
        <w:tc>
          <w:tcPr>
            <w:tcW w:w="2126" w:type="dxa"/>
            <w:tcBorders/>
          </w:tcPr>
          <w:p>
            <w:pPr>
              <w:pStyle w:val="Style27"/>
              <w:keepNext w:val="false"/>
              <w:widowControl w:val="false"/>
              <w:numPr>
                <w:ilvl w:val="0"/>
                <w:numId w:val="0"/>
              </w:numPr>
              <w:suppressAutoHyphens w:val="true"/>
              <w:spacing w:before="0" w:after="60"/>
              <w:jc w:val="left"/>
              <w:outlineLvl w:val="2"/>
              <w:rPr>
                <w:i/>
                <w:i/>
                <w:iCs/>
                <w:lang w:val="ru-RU"/>
              </w:rPr>
            </w:pPr>
            <w:r>
              <w:rPr>
                <w:rFonts w:eastAsia="Times New Roman" w:cs="Times New Roman"/>
                <w:i/>
                <w:iCs/>
                <w:kern w:val="0"/>
                <w:sz w:val="20"/>
                <w:szCs w:val="20"/>
                <w:lang w:val="ru-RU" w:eastAsia="ru-RU" w:bidi="ar-SA"/>
              </w:rPr>
              <w:t>-</w:t>
            </w:r>
          </w:p>
        </w:tc>
      </w:tr>
    </w:tbl>
    <w:p>
      <w:pPr>
        <w:sectPr>
          <w:headerReference w:type="default" r:id="rId6"/>
          <w:headerReference w:type="first" r:id="rId7"/>
          <w:type w:val="nextPage"/>
          <w:pgSz w:orient="landscape" w:w="16838" w:h="11906"/>
          <w:pgMar w:left="992" w:right="567" w:gutter="0" w:header="680" w:top="851" w:footer="0" w:bottom="851"/>
          <w:pgNumType w:fmt="decimal"/>
          <w:formProt w:val="false"/>
          <w:titlePg/>
          <w:textDirection w:val="lrTb"/>
          <w:docGrid w:type="default" w:linePitch="381" w:charSpace="0"/>
        </w:sectPr>
      </w:pPr>
    </w:p>
    <w:p>
      <w:pPr>
        <w:pStyle w:val="Heading1"/>
        <w:numPr>
          <w:ilvl w:val="0"/>
          <w:numId w:val="3"/>
        </w:numPr>
        <w:spacing w:before="120" w:after="0"/>
        <w:ind w:left="284" w:hanging="0"/>
        <w:rPr>
          <w:b w:val="false"/>
        </w:rPr>
      </w:pPr>
      <w:bookmarkStart w:id="4" w:name="_Toc54643138"/>
      <w:bookmarkStart w:id="5" w:name="_Toc54618152"/>
      <w:bookmarkStart w:id="6" w:name="_Toc54647836"/>
      <w:bookmarkStart w:id="7" w:name="_Toc54279845"/>
      <w:r>
        <w:rPr/>
        <w:t xml:space="preserve">Требования к документации по ценообразованию на этапе </w:t>
      </w:r>
      <w:bookmarkEnd w:id="4"/>
      <w:bookmarkEnd w:id="5"/>
      <w:bookmarkEnd w:id="6"/>
      <w:bookmarkEnd w:id="7"/>
      <w:r>
        <w:rPr>
          <w:lang w:val="ru-RU"/>
        </w:rPr>
        <w:t>закупки.</w:t>
      </w:r>
    </w:p>
    <w:p>
      <w:pPr>
        <w:pStyle w:val="Normal"/>
        <w:ind w:firstLine="709"/>
        <w:jc w:val="both"/>
        <w:rPr>
          <w:sz w:val="24"/>
          <w:szCs w:val="24"/>
          <w:lang w:eastAsia="x-none"/>
        </w:rPr>
      </w:pPr>
      <w:bookmarkStart w:id="8" w:name="_Toc54643139"/>
      <w:bookmarkStart w:id="9" w:name="_Toc54647837"/>
      <w:bookmarkStart w:id="10" w:name="_Toc54457704"/>
      <w:bookmarkStart w:id="11" w:name="_Toc54279846"/>
      <w:bookmarkStart w:id="12" w:name="_Toc54279725"/>
      <w:bookmarkStart w:id="13" w:name="_Toc54459814"/>
      <w:bookmarkEnd w:id="10"/>
      <w:bookmarkEnd w:id="11"/>
      <w:bookmarkEnd w:id="12"/>
      <w:bookmarkEnd w:id="13"/>
      <w:r>
        <w:rPr>
          <w:sz w:val="24"/>
          <w:szCs w:val="24"/>
          <w:lang w:eastAsia="x-none"/>
        </w:rPr>
        <w:t xml:space="preserve"> </w:t>
      </w:r>
      <w:r>
        <w:rPr>
          <w:sz w:val="24"/>
          <w:szCs w:val="24"/>
          <w:lang w:eastAsia="x-none"/>
        </w:rPr>
        <w:t>В обосновании стоимости заявки участник предоставляет коммерческое предложение, сформированное с учетом настоящих Технических требований по форме, указанной в документации о закупке.</w:t>
      </w:r>
    </w:p>
    <w:p>
      <w:pPr>
        <w:pStyle w:val="Heading1"/>
        <w:numPr>
          <w:ilvl w:val="0"/>
          <w:numId w:val="3"/>
        </w:numPr>
        <w:spacing w:before="120" w:after="0"/>
        <w:ind w:left="284" w:hanging="0"/>
        <w:rPr/>
      </w:pPr>
      <w:r>
        <w:rPr/>
        <w:t>Требования к документации по ценообразованию на этапе заключения</w:t>
      </w:r>
      <w:r>
        <w:rPr>
          <w:lang w:val="ru-RU"/>
        </w:rPr>
        <w:t xml:space="preserve"> (исполнения)</w:t>
      </w:r>
      <w:r>
        <w:rPr/>
        <w:t xml:space="preserve"> договора</w:t>
      </w:r>
      <w:r>
        <w:rPr>
          <w:lang w:val="ru-RU"/>
        </w:rPr>
        <w:t>.</w:t>
      </w:r>
    </w:p>
    <w:p>
      <w:pPr>
        <w:pStyle w:val="Normal"/>
        <w:ind w:firstLine="709"/>
        <w:jc w:val="both"/>
        <w:rPr>
          <w:sz w:val="24"/>
          <w:szCs w:val="24"/>
          <w:lang w:eastAsia="x-none"/>
        </w:rPr>
      </w:pPr>
      <w:r>
        <w:rPr>
          <w:sz w:val="24"/>
          <w:szCs w:val="24"/>
          <w:lang w:eastAsia="x-none"/>
        </w:rPr>
        <w:t>По результатам настоящей закупки заключается договор с предельной ценой.</w:t>
      </w:r>
    </w:p>
    <w:p>
      <w:pPr>
        <w:pStyle w:val="Normal"/>
        <w:ind w:firstLine="709"/>
        <w:jc w:val="both"/>
        <w:rPr>
          <w:sz w:val="24"/>
          <w:szCs w:val="24"/>
          <w:lang w:eastAsia="x-none"/>
        </w:rPr>
      </w:pPr>
      <w:r>
        <w:rPr>
          <w:sz w:val="24"/>
          <w:szCs w:val="24"/>
          <w:lang w:eastAsia="x-none"/>
        </w:rPr>
        <w:t>Разработка сметной документации осуществляется при исполнении договора в соответствии с договорными условиями и приложением № 4 «Требования к оформлению и составлению сметной документации».</w:t>
      </w:r>
    </w:p>
    <w:p>
      <w:pPr>
        <w:pStyle w:val="Normal"/>
        <w:ind w:firstLine="709"/>
        <w:jc w:val="both"/>
        <w:rPr>
          <w:sz w:val="24"/>
          <w:szCs w:val="24"/>
          <w:lang w:eastAsia="x-none"/>
        </w:rPr>
      </w:pPr>
      <w:r>
        <w:rPr>
          <w:sz w:val="24"/>
          <w:szCs w:val="24"/>
          <w:lang w:eastAsia="x-none"/>
        </w:rPr>
      </w:r>
    </w:p>
    <w:p>
      <w:pPr>
        <w:pStyle w:val="Heading1"/>
        <w:numPr>
          <w:ilvl w:val="0"/>
          <w:numId w:val="0"/>
        </w:numPr>
        <w:ind w:left="0" w:hanging="0"/>
        <w:rPr>
          <w:lang w:val="en-US"/>
        </w:rPr>
      </w:pPr>
      <w:r>
        <w:rPr>
          <w:lang w:val="en-US"/>
        </w:rPr>
        <w:t xml:space="preserve">5. </w:t>
      </w:r>
      <w:r>
        <w:rPr/>
        <w:t>Приложения</w:t>
      </w:r>
      <w:bookmarkEnd w:id="8"/>
      <w:bookmarkEnd w:id="9"/>
      <w:r>
        <w:rPr>
          <w:lang w:val="en-US"/>
        </w:rPr>
        <w:t>.</w:t>
      </w:r>
    </w:p>
    <w:p>
      <w:pPr>
        <w:pStyle w:val="Normal"/>
        <w:numPr>
          <w:ilvl w:val="0"/>
          <w:numId w:val="9"/>
        </w:numPr>
        <w:ind w:left="0" w:firstLine="284"/>
        <w:jc w:val="both"/>
        <w:rPr>
          <w:sz w:val="24"/>
          <w:szCs w:val="24"/>
        </w:rPr>
      </w:pPr>
      <w:r>
        <w:rPr>
          <w:sz w:val="24"/>
          <w:szCs w:val="24"/>
        </w:rPr>
        <w:t>Приложение   №1 - СТО 17330282.27.140.017-2008 «Механическое оборудование гидротехнических сооружений ГЭС. Организация эксплуатации и технического обслуживания. Нормы и требования»;</w:t>
      </w:r>
    </w:p>
    <w:p>
      <w:pPr>
        <w:pStyle w:val="Normal"/>
        <w:numPr>
          <w:ilvl w:val="0"/>
          <w:numId w:val="9"/>
        </w:numPr>
        <w:ind w:left="0" w:firstLine="284"/>
        <w:jc w:val="both"/>
        <w:rPr>
          <w:sz w:val="24"/>
          <w:szCs w:val="24"/>
        </w:rPr>
      </w:pPr>
      <w:r>
        <w:rPr>
          <w:sz w:val="24"/>
          <w:szCs w:val="24"/>
        </w:rPr>
        <w:t>Приложение   №2 - СТО 17330282.27.140.001 2006 «Методики оценки технического состояния основного оборудования гидроэлектростанций»;</w:t>
      </w:r>
    </w:p>
    <w:p>
      <w:pPr>
        <w:pStyle w:val="Normal"/>
        <w:numPr>
          <w:ilvl w:val="0"/>
          <w:numId w:val="9"/>
        </w:numPr>
        <w:ind w:left="0" w:firstLine="284"/>
        <w:jc w:val="both"/>
        <w:rPr>
          <w:sz w:val="24"/>
          <w:szCs w:val="24"/>
        </w:rPr>
      </w:pPr>
      <w:r>
        <w:rPr>
          <w:sz w:val="24"/>
          <w:szCs w:val="24"/>
        </w:rPr>
        <w:t>Приложение №3 - Положение о пропускном и внутриобъектовом режимах;</w:t>
      </w:r>
    </w:p>
    <w:p>
      <w:pPr>
        <w:pStyle w:val="Normal"/>
        <w:numPr>
          <w:ilvl w:val="0"/>
          <w:numId w:val="9"/>
        </w:numPr>
        <w:ind w:left="0" w:firstLine="284"/>
        <w:jc w:val="both"/>
        <w:rPr>
          <w:sz w:val="24"/>
          <w:szCs w:val="24"/>
        </w:rPr>
      </w:pPr>
      <w:r>
        <w:rPr>
          <w:sz w:val="24"/>
          <w:szCs w:val="24"/>
        </w:rPr>
        <w:t>Приложение №4 - Требования к оформлению и составлению сметной документации.</w:t>
      </w:r>
    </w:p>
    <w:p>
      <w:pPr>
        <w:pStyle w:val="Normal"/>
        <w:spacing w:before="0" w:afterAutospacing="1"/>
        <w:jc w:val="both"/>
        <w:rPr/>
      </w:pPr>
      <w:r>
        <w:rPr/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spacing w:beforeAutospacing="1" w:afterAutospacing="1"/>
        <w:jc w:val="both"/>
        <w:rPr>
          <w:rStyle w:val="Style8"/>
          <w:b w:val="false"/>
          <w:i w:val="false"/>
          <w:i w:val="false"/>
          <w:sz w:val="24"/>
          <w:szCs w:val="24"/>
          <w:shd w:fill="auto" w:val="clear"/>
        </w:rPr>
      </w:pPr>
      <w:r>
        <w:rPr/>
      </w:r>
    </w:p>
    <w:sectPr>
      <w:headerReference w:type="default" r:id="rId8"/>
      <w:headerReference w:type="first" r:id="rId9"/>
      <w:type w:val="nextPage"/>
      <w:pgSz w:w="11906" w:h="16838"/>
      <w:pgMar w:left="1134" w:right="851" w:gutter="0" w:header="680" w:top="1134" w:footer="0" w:bottom="992"/>
      <w:pgNumType w:fmt="decimal"/>
      <w:formProt w:val="false"/>
      <w:titlePg/>
      <w:textDirection w:val="lrTb"/>
      <w:docGrid w:type="default" w:linePitch="381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Cambria">
    <w:charset w:val="01"/>
    <w:family w:val="roman"/>
    <w:pitch w:val="variable"/>
  </w:font>
  <w:font w:name="Arial">
    <w:charset w:val="01"/>
    <w:family w:val="roman"/>
    <w:pitch w:val="variable"/>
  </w:font>
  <w:font w:name="Calibri">
    <w:charset w:val="01"/>
    <w:family w:val="roman"/>
    <w:pitch w:val="variable"/>
  </w:font>
  <w:font w:name="Wingdings">
    <w:charset w:val="01"/>
    <w:family w:val="roman"/>
    <w:pitch w:val="variable"/>
  </w:font>
  <w:font w:name="OpenSymbol">
    <w:altName w:val="Arial Unicode MS"/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Liberation Sans">
    <w:altName w:val="Arial"/>
    <w:charset w:val="01"/>
    <w:family w:val="roman"/>
    <w:pitch w:val="variable"/>
  </w:font>
  <w:font w:name="Tahoma">
    <w:charset w:val="01"/>
    <w:family w:val="roman"/>
    <w:pitch w:val="variable"/>
  </w:font>
  <w:font w:name="Arial Unicode MS">
    <w:charset w:val="01"/>
    <w:family w:val="roman"/>
    <w:pitch w:val="variable"/>
  </w:font>
  <w:font w:name="Verdana">
    <w:charset w:val="01"/>
    <w:family w:val="roman"/>
    <w:pitch w:val="variable"/>
  </w:font>
  <w:font w:name="Garamond">
    <w:charset w:val="01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default"/>
  </w:font>
  <w:font w:name="Symbol">
    <w:charset w:val="02"/>
    <w:family w:val="auto"/>
    <w:pitch w:val="default"/>
  </w:font>
  <w:font w:name="OpenSymbol">
    <w:altName w:val="Arial Unicode MS"/>
    <w:charset w:val="01"/>
    <w:family w:val="auto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  <mc:AlternateContent>
        <mc:Choice Requires="wps">
          <w:drawing>
            <wp:anchor behindDoc="1" distT="0" distB="0" distL="0" distR="0" simplePos="0" locked="0" layoutInCell="0" allowOverlap="1" relativeHeight="2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1" name="Врезка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760" cy="147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Header"/>
                            <w:rPr>
                              <w:rStyle w:val="Pagenumber"/>
                            </w:rPr>
                          </w:pPr>
                          <w:r>
                            <w:rPr>
                              <w:rStyle w:val="Pagenumber"/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t>0</w:t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Врезка1" path="m0,0l-2147483645,0l-2147483645,-2147483646l0,-2147483646xe" stroked="f" o:allowincell="f" style="position:absolute;margin-left:0pt;margin-top:0.05pt;width:1.1pt;height:1.1pt;mso-wrap-style:square;v-text-anchor:top;mso-position-horizontal:center;mso-position-horizontal-relative:margin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Header"/>
                      <w:rPr>
                        <w:rStyle w:val="Pagenumber"/>
                      </w:rPr>
                    </w:pPr>
                    <w:r>
                      <w:rPr>
                        <w:rStyle w:val="Pagenumber"/>
                        <w:color w:val="000000"/>
                      </w:rPr>
                      <w:fldChar w:fldCharType="begin"/>
                    </w:r>
                    <w:r>
                      <w:rPr>
                        <w:rStyle w:val="Pagenumber"/>
                        <w:color w:val="000000"/>
                      </w:rPr>
                      <w:instrText xml:space="preserve"> PAGE </w:instrText>
                    </w:r>
                    <w:r>
                      <w:rPr>
                        <w:rStyle w:val="Pagenumber"/>
                        <w:color w:val="000000"/>
                      </w:rPr>
                      <w:fldChar w:fldCharType="separate"/>
                    </w:r>
                    <w:r>
                      <w:rPr>
                        <w:rStyle w:val="Pagenumber"/>
                        <w:color w:val="000000"/>
                      </w:rPr>
                      <w:t>0</w:t>
                    </w:r>
                    <w:r>
                      <w:rPr>
                        <w:rStyle w:val="Pagenumber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2</w:t>
    </w:r>
    <w:r>
      <w:rPr/>
      <w:fldChar w:fldCharType="end"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</w:r>
  </w:p>
  <w:p>
    <w:pPr>
      <w:pStyle w:val="Header"/>
      <w:rPr/>
    </w:pPr>
    <w:r>
      <w:rPr/>
    </w:r>
  </w:p>
</w:hdr>
</file>

<file path=word/header4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11</w:t>
    </w:r>
    <w:r>
      <w:rPr/>
      <w:fldChar w:fldCharType="end"/>
    </w:r>
  </w:p>
</w:hdr>
</file>

<file path=word/header5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</w:r>
  </w:p>
  <w:p>
    <w:pPr>
      <w:pStyle w:val="Header"/>
      <w:rPr/>
    </w:pPr>
    <w:r>
      <w:rPr/>
    </w:r>
  </w:p>
</w:hdr>
</file>

<file path=word/header6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0</w:t>
    </w:r>
    <w:r>
      <w:rPr/>
      <w:fldChar w:fldCharType="end"/>
    </w:r>
  </w:p>
</w:hdr>
</file>

<file path=word/header7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</w:r>
  </w:p>
  <w:p>
    <w:pPr>
      <w:pStyle w:val="Header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/>
    </w:lvl>
    <w:lvl w:ilvl="1">
      <w:start w:val="1"/>
      <w:numFmt w:val="decimal"/>
      <w:lvlText w:val="%1.%2."/>
      <w:lvlJc w:val="left"/>
      <w:pPr>
        <w:tabs>
          <w:tab w:val="num" w:pos="357"/>
        </w:tabs>
        <w:ind w:left="0" w:hanging="0"/>
      </w:pPr>
      <w:rPr/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0" w:hanging="0"/>
      </w:pPr>
      <w:rPr/>
    </w:lvl>
    <w:lvl w:ilvl="3">
      <w:start w:val="1"/>
      <w:numFmt w:val="decimal"/>
      <w:lvlText w:val="%1.%2.%3.%4."/>
      <w:lvlJc w:val="left"/>
      <w:pPr>
        <w:tabs>
          <w:tab w:val="num" w:pos="357"/>
        </w:tabs>
        <w:ind w:left="0" w:hanging="0"/>
      </w:pPr>
      <w:rPr/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0" w:hanging="0"/>
      </w:pPr>
      <w:rPr/>
    </w:lvl>
    <w:lvl w:ilvl="5">
      <w:start w:val="1"/>
      <w:numFmt w:val="decimal"/>
      <w:lvlText w:val="%1.%2.%3.%4.%5.%6."/>
      <w:lvlJc w:val="left"/>
      <w:pPr>
        <w:tabs>
          <w:tab w:val="num" w:pos="357"/>
        </w:tabs>
        <w:ind w:left="0" w:hanging="0"/>
      </w:pPr>
      <w:rPr/>
    </w:lvl>
    <w:lvl w:ilvl="6">
      <w:start w:val="1"/>
      <w:numFmt w:val="decimal"/>
      <w:lvlText w:val="%1.%2.%3.%4.%5.%6.%7."/>
      <w:lvlJc w:val="left"/>
      <w:pPr>
        <w:tabs>
          <w:tab w:val="num" w:pos="357"/>
        </w:tabs>
        <w:ind w:left="0" w:hanging="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357"/>
        </w:tabs>
        <w:ind w:left="0" w:hanging="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357"/>
        </w:tabs>
        <w:ind w:left="0" w:hanging="0"/>
      </w:pPr>
      <w:rPr/>
    </w:lvl>
  </w:abstractNum>
  <w:abstractNum w:abstractNumId="2">
    <w:lvl w:ilvl="0">
      <w:start w:val="4"/>
      <w:numFmt w:val="bullet"/>
      <w:lvlText w:val="-"/>
      <w:lvlJc w:val="left"/>
      <w:pPr>
        <w:tabs>
          <w:tab w:val="num" w:pos="0"/>
        </w:tabs>
        <w:ind w:left="-207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513"/>
        </w:tabs>
        <w:ind w:left="51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233"/>
        </w:tabs>
        <w:ind w:left="1233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953"/>
        </w:tabs>
        <w:ind w:left="1953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2673"/>
        </w:tabs>
        <w:ind w:left="267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393"/>
        </w:tabs>
        <w:ind w:left="3393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4113"/>
        </w:tabs>
        <w:ind w:left="4113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4833"/>
        </w:tabs>
        <w:ind w:left="483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553"/>
        </w:tabs>
        <w:ind w:left="5553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0"/>
        </w:tabs>
        <w:ind w:left="5038" w:hanging="360"/>
      </w:pPr>
      <w:rPr>
        <w:smallCaps w:val="false"/>
        <w:caps w:val="false"/>
        <w:dstrike w:val="false"/>
        <w:strike w:val="false"/>
        <w:vertAlign w:val="baseline"/>
        <w:position w:val="0"/>
        <w:sz w:val="24"/>
        <w:sz w:val="24"/>
        <w:spacing w:val="0"/>
        <w:i w:val="false"/>
        <w:u w:val="none"/>
        <w:b/>
        <w:kern w:val="0"/>
        <w:effect w:val="none"/>
        <w:szCs w:val="24"/>
        <w:iCs w:val="false"/>
        <w:bCs w:val="false"/>
        <w:em w:val="none"/>
        <w:vanish w:val="false"/>
        <w:rFonts w:ascii="Times New Roman" w:hAnsi="Times New Roman" w:cs="Times New Roman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574" w:hanging="432"/>
      </w:pPr>
      <w:rPr>
        <w:sz w:val="24"/>
        <w:i w:val="false"/>
        <w:b w:val="false"/>
        <w:szCs w:val="24"/>
        <w:iCs w:val="false"/>
        <w:bCs w:val="false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930" w:hanging="504"/>
      </w:pPr>
      <w:rPr>
        <w:i w:val="false"/>
        <w:b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1134" w:hanging="1134"/>
      </w:pPr>
      <w:rPr/>
    </w:lvl>
    <w:lvl w:ilvl="1">
      <w:start w:val="1"/>
      <w:numFmt w:val="decimal"/>
      <w:lvlText w:val="%1.%2."/>
      <w:lvlJc w:val="left"/>
      <w:pPr>
        <w:tabs>
          <w:tab w:val="num" w:pos="0"/>
        </w:tabs>
        <w:ind w:left="1134" w:hanging="1134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134" w:hanging="1134"/>
      </w:pPr>
      <w:rPr/>
    </w:lvl>
    <w:lvl w:ilvl="3">
      <w:start w:val="1"/>
      <w:numFmt w:val="russianLower"/>
      <w:lvlText w:val="(%4)"/>
      <w:lvlJc w:val="left"/>
      <w:pPr>
        <w:tabs>
          <w:tab w:val="num" w:pos="0"/>
        </w:tabs>
        <w:ind w:left="1985" w:hanging="567"/>
      </w:pPr>
      <w:rPr/>
    </w:lvl>
    <w:lvl w:ilvl="4">
      <w:start w:val="1"/>
      <w:numFmt w:val="bullet"/>
      <w:lvlText w:val="–"/>
      <w:lvlJc w:val="left"/>
      <w:pPr>
        <w:tabs>
          <w:tab w:val="num" w:pos="0"/>
        </w:tabs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34" w:hanging="0"/>
      </w:pPr>
      <w:rPr/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701" w:hanging="0"/>
      </w:pPr>
      <w:rPr/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134" w:hanging="0"/>
      </w:pPr>
      <w:rPr/>
    </w:lvl>
  </w:abstractNum>
  <w:abstractNum w:abstractNumId="5">
    <w:lvl w:ilvl="0">
      <w:start w:val="1"/>
      <w:numFmt w:val="decimal"/>
      <w:lvlText w:val="1.%1"/>
      <w:lvlJc w:val="left"/>
      <w:pPr>
        <w:tabs>
          <w:tab w:val="num" w:pos="0"/>
        </w:tabs>
        <w:ind w:left="1429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  <w:rPr/>
    </w:lvl>
  </w:abstractNum>
  <w:abstractNum w:abstractNumId="6"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color w:val="FF0000"/>
      </w:rPr>
    </w:lvl>
    <w:lvl w:ilvl="1">
      <w:start w:val="1"/>
      <w:numFmt w:val="decimal"/>
      <w:lvlText w:val="Глава %2."/>
      <w:lvlJc w:val="left"/>
      <w:pPr>
        <w:tabs>
          <w:tab w:val="num" w:pos="720"/>
        </w:tabs>
        <w:ind w:left="720" w:hanging="720"/>
      </w:pPr>
      <w:rPr>
        <w:rFonts w:ascii="Times New Roman" w:hAnsi="Times New Roman" w:eastAsia="Times New Roman" w:cs="Times New Roman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color w:val="FF000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color w:val="FF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color w:val="FF000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color w:val="FF000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color w:val="FF000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color w:val="FF0000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color w:val="FF0000"/>
      </w:rPr>
    </w:lvl>
  </w:abstractNum>
  <w:abstractNum w:abstractNumId="7"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8"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OpenSymbol" w:hAnsi="OpenSymbol" w:cs="Open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9">
    <w:lvl w:ilvl="0">
      <w:start w:val="1"/>
      <w:numFmt w:val="decimal"/>
      <w:lvlText w:val="%1."/>
      <w:lvlJc w:val="left"/>
      <w:pPr>
        <w:tabs>
          <w:tab w:val="num" w:pos="0"/>
        </w:tabs>
        <w:ind w:left="1005" w:hanging="360"/>
      </w:pPr>
      <w:rPr>
        <w:b w:val="false"/>
        <w:rFonts w:eastAsia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25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5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165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5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5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325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5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5" w:hanging="180"/>
      </w:pPr>
      <w:rPr/>
    </w:lvl>
  </w:abstractNum>
  <w:abstractNum w:abstractNumId="10"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/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/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/>
    </w:lvl>
  </w:abstractNum>
  <w:abstractNum w:abstractNumId="1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0"/>
    <w:lvlOverride w:ilvl="0">
      <w:startOverride w:val="1"/>
    </w:lvlOverride>
  </w:num>
</w:numbering>
</file>

<file path=word/settings.xml><?xml version="1.0" encoding="utf-8"?>
<w:settings xmlns:w="http://schemas.openxmlformats.org/wordprocessingml/2006/main">
  <w:zoom w:percent="100"/>
  <w:trackRevisions/>
  <w:defaultTabStop w:val="708"/>
  <w:autoHyphenation w:val="true"/>
  <w:compat>
    <w:compatSetting w:name="compatibilityMode" w:uri="http://schemas.microsoft.com/office/word" w:val="12"/>
  </w:compat>
  <w:documentProtection w:edit="trackedChanges" w:enforcement="1" w:cryptAlgorithmSid="14" w:cryptSpinCount="100000" w:cryptProviderType="rsaAES" w:cryptAlgorithmClass="hash" w:cryptAlgorithmType="typeAny" w:salt="9I23VNLveDv08iD28UHiFg==" w:hash="4VaITsp/uVrswYcuWu9VC3z3uD5aJnis7A+Yo8b8hpbuED5ypkcwstRVW0AbK+0UkbBfP/zh5lJvDb51jg1RWQ=="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99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uiPriority="99" w:semiHidden="1" w:unhideWhenUsed="1"/>
    <w:lsdException w:name="HTML Top of Form" w:semiHidden="1" w:unhideWhenUsed="1"/>
    <w:lsdException w:name="HTML Bottom of Form" w:semiHidden="1" w:unhideWhenUsed="1"/>
    <w:lsdException w:name="Normal (Web)" w:uiPriority="99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uiPriority="99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725d14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8"/>
      <w:szCs w:val="28"/>
      <w:lang w:val="ru-RU" w:eastAsia="ru-RU" w:bidi="ar-SA"/>
    </w:rPr>
  </w:style>
  <w:style w:type="paragraph" w:styleId="Heading1">
    <w:name w:val="Heading 1"/>
    <w:basedOn w:val="Heading3"/>
    <w:next w:val="Normal"/>
    <w:link w:val="1"/>
    <w:qFormat/>
    <w:rsid w:val="00353a27"/>
    <w:pPr>
      <w:numPr>
        <w:ilvl w:val="0"/>
      </w:numPr>
      <w:outlineLvl w:val="0"/>
    </w:pPr>
    <w:rPr>
      <w:sz w:val="28"/>
      <w:szCs w:val="28"/>
    </w:rPr>
  </w:style>
  <w:style w:type="paragraph" w:styleId="Heading2">
    <w:name w:val="Heading 2"/>
    <w:basedOn w:val="Heading4"/>
    <w:next w:val="Normal"/>
    <w:link w:val="2"/>
    <w:qFormat/>
    <w:rsid w:val="00ea61a8"/>
    <w:pPr>
      <w:outlineLvl w:val="1"/>
    </w:pPr>
    <w:rPr/>
  </w:style>
  <w:style w:type="paragraph" w:styleId="Heading3">
    <w:name w:val="Heading 3"/>
    <w:basedOn w:val="Normal"/>
    <w:next w:val="Normal"/>
    <w:link w:val="3"/>
    <w:autoRedefine/>
    <w:qFormat/>
    <w:rsid w:val="00035e96"/>
    <w:pPr>
      <w:keepNext w:val="true"/>
      <w:numPr>
        <w:ilvl w:val="2"/>
        <w:numId w:val="3"/>
      </w:numPr>
      <w:spacing w:before="120" w:after="60"/>
      <w:outlineLvl w:val="2"/>
    </w:pPr>
    <w:rPr>
      <w:rFonts w:eastAsia="Calibri"/>
      <w:b/>
      <w:sz w:val="24"/>
      <w:szCs w:val="24"/>
      <w:lang w:val="x-none" w:eastAsia="x-none"/>
    </w:rPr>
  </w:style>
  <w:style w:type="paragraph" w:styleId="Heading4">
    <w:name w:val="Heading 4"/>
    <w:basedOn w:val="Heading3"/>
    <w:next w:val="Normal"/>
    <w:link w:val="4"/>
    <w:qFormat/>
    <w:rsid w:val="006629c9"/>
    <w:pPr>
      <w:numPr>
        <w:ilvl w:val="0"/>
        <w:numId w:val="0"/>
      </w:numPr>
      <w:tabs>
        <w:tab w:val="clear" w:pos="708"/>
        <w:tab w:val="left" w:pos="0" w:leader="none"/>
      </w:tabs>
      <w:ind w:left="432" w:hanging="0"/>
      <w:outlineLvl w:val="3"/>
    </w:pPr>
    <w:rPr>
      <w:bCs/>
    </w:rPr>
  </w:style>
  <w:style w:type="paragraph" w:styleId="Heading5">
    <w:name w:val="Heading 5"/>
    <w:basedOn w:val="Normal"/>
    <w:next w:val="Normal"/>
    <w:link w:val="5"/>
    <w:uiPriority w:val="9"/>
    <w:qFormat/>
    <w:rsid w:val="0076353a"/>
    <w:pPr>
      <w:spacing w:before="240" w:after="60"/>
      <w:outlineLvl w:val="4"/>
    </w:pPr>
    <w:rPr>
      <w:b/>
      <w:bCs/>
      <w:i/>
      <w:iCs/>
      <w:sz w:val="26"/>
      <w:szCs w:val="26"/>
      <w:lang w:val="x-none" w:eastAsia="x-none"/>
    </w:rPr>
  </w:style>
  <w:style w:type="paragraph" w:styleId="Heading6">
    <w:name w:val="Heading 6"/>
    <w:basedOn w:val="Normal"/>
    <w:next w:val="Normal"/>
    <w:link w:val="6"/>
    <w:uiPriority w:val="9"/>
    <w:qFormat/>
    <w:rsid w:val="00d22f6d"/>
    <w:pPr>
      <w:keepNext w:val="true"/>
      <w:keepLines/>
      <w:spacing w:before="200" w:after="0"/>
      <w:outlineLvl w:val="5"/>
    </w:pPr>
    <w:rPr>
      <w:rFonts w:ascii="Cambria" w:hAnsi="Cambria"/>
      <w:i/>
      <w:iCs/>
      <w:color w:val="243F60"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7"/>
    <w:uiPriority w:val="9"/>
    <w:qFormat/>
    <w:rsid w:val="00d22f6d"/>
    <w:pPr>
      <w:keepNext w:val="true"/>
      <w:keepLines/>
      <w:spacing w:before="200" w:after="0"/>
      <w:outlineLvl w:val="6"/>
    </w:pPr>
    <w:rPr>
      <w:rFonts w:ascii="Cambria" w:hAnsi="Cambria"/>
      <w:i/>
      <w:iCs/>
      <w:color w:val="404040"/>
      <w:sz w:val="20"/>
      <w:szCs w:val="20"/>
      <w:lang w:val="x-none" w:eastAsia="x-none"/>
    </w:rPr>
  </w:style>
  <w:style w:type="paragraph" w:styleId="Heading8">
    <w:name w:val="Heading 8"/>
    <w:basedOn w:val="Normal"/>
    <w:next w:val="Normal"/>
    <w:link w:val="8"/>
    <w:uiPriority w:val="9"/>
    <w:qFormat/>
    <w:rsid w:val="00d22f6d"/>
    <w:pPr>
      <w:keepNext w:val="true"/>
      <w:keepLines/>
      <w:spacing w:before="200" w:after="0"/>
      <w:outlineLvl w:val="7"/>
    </w:pPr>
    <w:rPr>
      <w:rFonts w:ascii="Cambria" w:hAnsi="Cambria"/>
      <w:color w:val="4F81BD"/>
      <w:sz w:val="20"/>
      <w:szCs w:val="20"/>
      <w:lang w:val="x-none" w:eastAsia="x-none"/>
    </w:rPr>
  </w:style>
  <w:style w:type="paragraph" w:styleId="Heading9">
    <w:name w:val="Heading 9"/>
    <w:basedOn w:val="Normal"/>
    <w:next w:val="Normal"/>
    <w:link w:val="9"/>
    <w:uiPriority w:val="9"/>
    <w:qFormat/>
    <w:rsid w:val="0076353a"/>
    <w:pPr>
      <w:spacing w:before="240" w:after="60"/>
      <w:outlineLvl w:val="8"/>
    </w:pPr>
    <w:rPr>
      <w:rFonts w:ascii="Arial" w:hAnsi="Arial"/>
      <w:sz w:val="22"/>
      <w:szCs w:val="22"/>
      <w:lang w:val="x-none" w:eastAsia="x-none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" w:customStyle="1">
    <w:name w:val="Символ сноски"/>
    <w:qFormat/>
    <w:rsid w:val="00d561d9"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Pagenumber">
    <w:name w:val="page number"/>
    <w:basedOn w:val="DefaultParagraphFont"/>
    <w:qFormat/>
    <w:rsid w:val="006c2f3f"/>
    <w:rPr/>
  </w:style>
  <w:style w:type="character" w:styleId="Hyperlink">
    <w:name w:val="Hyperlink"/>
    <w:uiPriority w:val="99"/>
    <w:rsid w:val="006c2f3f"/>
    <w:rPr>
      <w:color w:val="0000FF"/>
      <w:u w:val="single"/>
    </w:rPr>
  </w:style>
  <w:style w:type="character" w:styleId="Annotationreference">
    <w:name w:val="annotation reference"/>
    <w:qFormat/>
    <w:rsid w:val="00b714b0"/>
    <w:rPr>
      <w:sz w:val="16"/>
      <w:szCs w:val="16"/>
    </w:rPr>
  </w:style>
  <w:style w:type="character" w:styleId="Strong">
    <w:name w:val="Strong"/>
    <w:uiPriority w:val="22"/>
    <w:qFormat/>
    <w:rsid w:val="00165965"/>
    <w:rPr>
      <w:b/>
      <w:bCs/>
    </w:rPr>
  </w:style>
  <w:style w:type="character" w:styleId="6" w:customStyle="1">
    <w:name w:val="Заголовок 6 Знак"/>
    <w:uiPriority w:val="9"/>
    <w:qFormat/>
    <w:rsid w:val="00d22f6d"/>
    <w:rPr>
      <w:rFonts w:ascii="Cambria" w:hAnsi="Cambria"/>
      <w:i/>
      <w:iCs/>
      <w:color w:val="243F60"/>
      <w:lang w:val="x-none" w:eastAsia="x-none"/>
    </w:rPr>
  </w:style>
  <w:style w:type="character" w:styleId="7" w:customStyle="1">
    <w:name w:val="Заголовок 7 Знак"/>
    <w:uiPriority w:val="9"/>
    <w:qFormat/>
    <w:rsid w:val="00d22f6d"/>
    <w:rPr>
      <w:rFonts w:ascii="Cambria" w:hAnsi="Cambria"/>
      <w:i/>
      <w:iCs/>
      <w:color w:val="404040"/>
      <w:lang w:val="x-none" w:eastAsia="x-none"/>
    </w:rPr>
  </w:style>
  <w:style w:type="character" w:styleId="8" w:customStyle="1">
    <w:name w:val="Заголовок 8 Знак"/>
    <w:uiPriority w:val="9"/>
    <w:qFormat/>
    <w:rsid w:val="00d22f6d"/>
    <w:rPr>
      <w:rFonts w:ascii="Cambria" w:hAnsi="Cambria"/>
      <w:color w:val="4F81BD"/>
      <w:lang w:val="x-none" w:eastAsia="x-none"/>
    </w:rPr>
  </w:style>
  <w:style w:type="character" w:styleId="1" w:customStyle="1">
    <w:name w:val="Заголовок 1 Знак"/>
    <w:qFormat/>
    <w:rsid w:val="00353a27"/>
    <w:rPr>
      <w:rFonts w:eastAsia="Calibri"/>
      <w:b/>
      <w:sz w:val="28"/>
      <w:szCs w:val="28"/>
      <w:lang w:val="x-none" w:eastAsia="x-none"/>
    </w:rPr>
  </w:style>
  <w:style w:type="character" w:styleId="2" w:customStyle="1">
    <w:name w:val="Заголовок 2 Знак"/>
    <w:qFormat/>
    <w:rsid w:val="00ea61a8"/>
    <w:rPr>
      <w:rFonts w:eastAsia="Calibri"/>
      <w:b/>
      <w:bCs/>
      <w:sz w:val="24"/>
      <w:szCs w:val="24"/>
      <w:lang w:val="x-none" w:eastAsia="x-none"/>
    </w:rPr>
  </w:style>
  <w:style w:type="character" w:styleId="3" w:customStyle="1">
    <w:name w:val="Заголовок 3 Знак"/>
    <w:qFormat/>
    <w:rsid w:val="00035e96"/>
    <w:rPr>
      <w:rFonts w:eastAsia="Calibri"/>
      <w:b/>
      <w:sz w:val="24"/>
      <w:szCs w:val="24"/>
      <w:lang w:val="x-none" w:eastAsia="x-none"/>
    </w:rPr>
  </w:style>
  <w:style w:type="character" w:styleId="4" w:customStyle="1">
    <w:name w:val="Заголовок 4 Знак"/>
    <w:qFormat/>
    <w:rsid w:val="006629c9"/>
    <w:rPr>
      <w:rFonts w:eastAsia="Calibri"/>
      <w:b/>
      <w:bCs/>
      <w:sz w:val="24"/>
      <w:szCs w:val="24"/>
      <w:lang w:val="x-none" w:eastAsia="x-none"/>
    </w:rPr>
  </w:style>
  <w:style w:type="character" w:styleId="5" w:customStyle="1">
    <w:name w:val="Заголовок 5 Знак"/>
    <w:uiPriority w:val="9"/>
    <w:qFormat/>
    <w:rsid w:val="00d22f6d"/>
    <w:rPr>
      <w:b/>
      <w:bCs/>
      <w:i/>
      <w:iCs/>
      <w:sz w:val="26"/>
      <w:szCs w:val="26"/>
    </w:rPr>
  </w:style>
  <w:style w:type="character" w:styleId="9" w:customStyle="1">
    <w:name w:val="Заголовок 9 Знак"/>
    <w:uiPriority w:val="9"/>
    <w:qFormat/>
    <w:rsid w:val="00d22f6d"/>
    <w:rPr>
      <w:rFonts w:ascii="Arial" w:hAnsi="Arial" w:cs="Arial"/>
      <w:sz w:val="22"/>
      <w:szCs w:val="22"/>
    </w:rPr>
  </w:style>
  <w:style w:type="character" w:styleId="Style1" w:customStyle="1">
    <w:name w:val="Название Знак"/>
    <w:link w:val="14"/>
    <w:uiPriority w:val="10"/>
    <w:qFormat/>
    <w:rsid w:val="00d22f6d"/>
    <w:rPr>
      <w:sz w:val="28"/>
    </w:rPr>
  </w:style>
  <w:style w:type="character" w:styleId="Style2" w:customStyle="1">
    <w:name w:val="Подзаголовок Знак"/>
    <w:uiPriority w:val="11"/>
    <w:qFormat/>
    <w:rsid w:val="00d22f6d"/>
    <w:rPr>
      <w:rFonts w:ascii="Cambria" w:hAnsi="Cambria"/>
      <w:i/>
      <w:iCs/>
      <w:color w:val="4F81BD"/>
      <w:spacing w:val="15"/>
      <w:sz w:val="24"/>
      <w:szCs w:val="24"/>
      <w:lang w:val="x-none" w:eastAsia="x-none"/>
    </w:rPr>
  </w:style>
  <w:style w:type="character" w:styleId="Emphasis">
    <w:name w:val="Emphasis"/>
    <w:uiPriority w:val="20"/>
    <w:qFormat/>
    <w:rsid w:val="00d22f6d"/>
    <w:rPr>
      <w:i/>
      <w:iCs/>
    </w:rPr>
  </w:style>
  <w:style w:type="character" w:styleId="21" w:customStyle="1">
    <w:name w:val="Цитата 2 Знак"/>
    <w:link w:val="Quote"/>
    <w:uiPriority w:val="29"/>
    <w:qFormat/>
    <w:rsid w:val="00d22f6d"/>
    <w:rPr>
      <w:rFonts w:ascii="Calibri" w:hAnsi="Calibri" w:eastAsia="Calibri"/>
      <w:i/>
      <w:iCs/>
      <w:color w:val="000000"/>
      <w:lang w:val="x-none" w:eastAsia="x-none"/>
    </w:rPr>
  </w:style>
  <w:style w:type="character" w:styleId="Style3" w:customStyle="1">
    <w:name w:val="Выделенная цитата Знак"/>
    <w:link w:val="IntenseQuote"/>
    <w:uiPriority w:val="30"/>
    <w:qFormat/>
    <w:rsid w:val="00d22f6d"/>
    <w:rPr>
      <w:rFonts w:ascii="Calibri" w:hAnsi="Calibri" w:eastAsia="Calibri"/>
      <w:b/>
      <w:bCs/>
      <w:i/>
      <w:iCs/>
      <w:color w:val="4F81BD"/>
      <w:lang w:val="x-none" w:eastAsia="x-none"/>
    </w:rPr>
  </w:style>
  <w:style w:type="character" w:styleId="SubtleEmphasis">
    <w:name w:val="Subtle Emphasis"/>
    <w:uiPriority w:val="19"/>
    <w:qFormat/>
    <w:rsid w:val="00d22f6d"/>
    <w:rPr>
      <w:i/>
      <w:iCs/>
      <w:color w:val="808080"/>
    </w:rPr>
  </w:style>
  <w:style w:type="character" w:styleId="IntenseEmphasis">
    <w:name w:val="Intense Emphasis"/>
    <w:uiPriority w:val="21"/>
    <w:qFormat/>
    <w:rsid w:val="00d22f6d"/>
    <w:rPr>
      <w:b/>
      <w:bCs/>
      <w:i/>
      <w:iCs/>
      <w:color w:val="4F81BD"/>
    </w:rPr>
  </w:style>
  <w:style w:type="character" w:styleId="SubtleReference">
    <w:name w:val="Subtle Reference"/>
    <w:uiPriority w:val="31"/>
    <w:qFormat/>
    <w:rsid w:val="00d22f6d"/>
    <w:rPr>
      <w:smallCaps/>
      <w:color w:val="C0504D"/>
      <w:u w:val="single"/>
    </w:rPr>
  </w:style>
  <w:style w:type="character" w:styleId="IntenseReference">
    <w:name w:val="Intense Reference"/>
    <w:uiPriority w:val="32"/>
    <w:qFormat/>
    <w:rsid w:val="00d22f6d"/>
    <w:rPr>
      <w:b/>
      <w:bCs/>
      <w:smallCaps/>
      <w:color w:val="C0504D"/>
      <w:spacing w:val="5"/>
      <w:u w:val="single"/>
    </w:rPr>
  </w:style>
  <w:style w:type="character" w:styleId="BookTitle">
    <w:name w:val="Book Title"/>
    <w:uiPriority w:val="33"/>
    <w:qFormat/>
    <w:rsid w:val="00d22f6d"/>
    <w:rPr>
      <w:b/>
      <w:bCs/>
      <w:smallCaps/>
      <w:spacing w:val="5"/>
    </w:rPr>
  </w:style>
  <w:style w:type="character" w:styleId="Style4" w:customStyle="1">
    <w:name w:val="Электронная подпись Знак"/>
    <w:link w:val="E-mailSignature"/>
    <w:uiPriority w:val="99"/>
    <w:qFormat/>
    <w:rsid w:val="00d22f6d"/>
    <w:rPr>
      <w:rFonts w:eastAsia="Calibri"/>
      <w:sz w:val="24"/>
      <w:szCs w:val="24"/>
    </w:rPr>
  </w:style>
  <w:style w:type="character" w:styleId="11" w:customStyle="1">
    <w:name w:val="Подпункт Знак1"/>
    <w:link w:val="Style21"/>
    <w:qFormat/>
    <w:locked/>
    <w:rsid w:val="00d22f6d"/>
    <w:rPr>
      <w:sz w:val="28"/>
    </w:rPr>
  </w:style>
  <w:style w:type="character" w:styleId="Style5" w:customStyle="1">
    <w:name w:val="Текст сноски Знак"/>
    <w:qFormat/>
    <w:rsid w:val="00d22f6d"/>
    <w:rPr/>
  </w:style>
  <w:style w:type="character" w:styleId="Style6" w:customStyle="1">
    <w:name w:val="Основной текст Знак"/>
    <w:qFormat/>
    <w:rsid w:val="004459a5"/>
    <w:rPr>
      <w:sz w:val="28"/>
      <w:szCs w:val="28"/>
    </w:rPr>
  </w:style>
  <w:style w:type="character" w:styleId="Blk" w:customStyle="1">
    <w:name w:val="blk"/>
    <w:qFormat/>
    <w:rsid w:val="00431ace"/>
    <w:rPr/>
  </w:style>
  <w:style w:type="character" w:styleId="Style7" w:customStyle="1">
    <w:name w:val="Абзац списка Знак"/>
    <w:link w:val="ListParagraph"/>
    <w:uiPriority w:val="34"/>
    <w:qFormat/>
    <w:locked/>
    <w:rsid w:val="00310eb4"/>
    <w:rPr>
      <w:rFonts w:eastAsia="Calibri"/>
      <w:sz w:val="24"/>
      <w:szCs w:val="24"/>
    </w:rPr>
  </w:style>
  <w:style w:type="character" w:styleId="Style8" w:customStyle="1">
    <w:name w:val="комментарий"/>
    <w:qFormat/>
    <w:rsid w:val="0025139e"/>
    <w:rPr>
      <w:b/>
      <w:i/>
      <w:shd w:fill="FFFF99" w:val="clear"/>
    </w:rPr>
  </w:style>
  <w:style w:type="character" w:styleId="Style9" w:customStyle="1">
    <w:name w:val="Подподпункт Знак"/>
    <w:link w:val="Style29"/>
    <w:qFormat/>
    <w:locked/>
    <w:rsid w:val="0025139e"/>
    <w:rPr>
      <w:sz w:val="26"/>
      <w:szCs w:val="26"/>
    </w:rPr>
  </w:style>
  <w:style w:type="character" w:styleId="31" w:customStyle="1">
    <w:name w:val="УРОВЕНЬ_Абзац_тип3 Знак"/>
    <w:link w:val="35"/>
    <w:qFormat/>
    <w:rsid w:val="00b56f46"/>
    <w:rPr>
      <w:rFonts w:eastAsia="Calibri"/>
      <w:sz w:val="26"/>
      <w:szCs w:val="28"/>
      <w:lang w:eastAsia="en-US"/>
    </w:rPr>
  </w:style>
  <w:style w:type="character" w:styleId="Style10" w:customStyle="1">
    <w:name w:val="Верхний колонтитул Знак"/>
    <w:uiPriority w:val="99"/>
    <w:qFormat/>
    <w:rsid w:val="002f31af"/>
    <w:rPr>
      <w:sz w:val="24"/>
      <w:szCs w:val="24"/>
    </w:rPr>
  </w:style>
  <w:style w:type="character" w:styleId="Style11" w:customStyle="1">
    <w:name w:val="Текст примечания Знак"/>
    <w:link w:val="Annotationtext"/>
    <w:qFormat/>
    <w:rsid w:val="00dc0f7d"/>
    <w:rPr/>
  </w:style>
  <w:style w:type="character" w:styleId="Style12" w:customStyle="1">
    <w:name w:val="Текст концевой сноски Знак"/>
    <w:basedOn w:val="DefaultParagraphFont"/>
    <w:qFormat/>
    <w:rsid w:val="003879d4"/>
    <w:rPr/>
  </w:style>
  <w:style w:type="character" w:styleId="Style13" w:customStyle="1">
    <w:name w:val="Символ концевой сноски"/>
    <w:qFormat/>
    <w:rsid w:val="003879d4"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22" w:customStyle="1">
    <w:name w:val="Пункт2 Знак"/>
    <w:link w:val="24"/>
    <w:qFormat/>
    <w:rsid w:val="00de52bc"/>
    <w:rPr>
      <w:b/>
      <w:sz w:val="28"/>
    </w:rPr>
  </w:style>
  <w:style w:type="character" w:styleId="12" w:customStyle="1">
    <w:name w:val="Неразрешенное упоминание1"/>
    <w:basedOn w:val="DefaultParagraphFont"/>
    <w:uiPriority w:val="99"/>
    <w:semiHidden/>
    <w:unhideWhenUsed/>
    <w:qFormat/>
    <w:rsid w:val="00796dd1"/>
    <w:rPr>
      <w:color w:val="605E5C"/>
      <w:shd w:fill="E1DFDD" w:val="clear"/>
    </w:rPr>
  </w:style>
  <w:style w:type="character" w:styleId="WW8Num25z2" w:customStyle="1">
    <w:name w:val="WW8Num25z2"/>
    <w:qFormat/>
    <w:rsid w:val="00d617e9"/>
    <w:rPr>
      <w:b w:val="false"/>
      <w:sz w:val="24"/>
      <w:szCs w:val="24"/>
    </w:rPr>
  </w:style>
  <w:style w:type="character" w:styleId="WW8Num2z2" w:customStyle="1">
    <w:name w:val="WW8Num2z2"/>
    <w:qFormat/>
    <w:rsid w:val="00c31dfd"/>
    <w:rPr>
      <w:rFonts w:ascii="Wingdings" w:hAnsi="Wingdings" w:cs="Wingdings"/>
    </w:rPr>
  </w:style>
  <w:style w:type="character" w:styleId="Linenumber1" w:customStyle="1">
    <w:name w:val="line number1"/>
    <w:qFormat/>
    <w:rPr/>
  </w:style>
  <w:style w:type="character" w:styleId="Linenumber2" w:customStyle="1">
    <w:name w:val="line number2"/>
    <w:qFormat/>
    <w:rPr/>
  </w:style>
  <w:style w:type="character" w:styleId="Style14" w:customStyle="1">
    <w:name w:val="Маркеры"/>
    <w:qFormat/>
    <w:rPr>
      <w:rFonts w:ascii="OpenSymbol" w:hAnsi="OpenSymbol" w:eastAsia="OpenSymbol" w:cs="OpenSymbol"/>
    </w:rPr>
  </w:style>
  <w:style w:type="character" w:styleId="Linenumber">
    <w:name w:val="line number"/>
    <w:qFormat/>
    <w:rPr/>
  </w:style>
  <w:style w:type="paragraph" w:styleId="Style15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Noto Sans CJK SC" w:cs="Arial Unicode MS"/>
      <w:sz w:val="28"/>
      <w:szCs w:val="28"/>
    </w:rPr>
  </w:style>
  <w:style w:type="paragraph" w:styleId="BodyText">
    <w:name w:val="Body Text"/>
    <w:basedOn w:val="Normal"/>
    <w:link w:val="Style6"/>
    <w:rsid w:val="0076353a"/>
    <w:pPr>
      <w:spacing w:before="0" w:after="120"/>
    </w:pPr>
    <w:rPr/>
  </w:style>
  <w:style w:type="paragraph" w:styleId="List">
    <w:name w:val="List"/>
    <w:basedOn w:val="BodyText"/>
    <w:pPr/>
    <w:rPr>
      <w:rFonts w:cs="Arial Unicode M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Style16">
    <w:name w:val="Указатель"/>
    <w:basedOn w:val="Normal"/>
    <w:qFormat/>
    <w:pPr>
      <w:suppressLineNumbers/>
    </w:pPr>
    <w:rPr>
      <w:rFonts w:cs="Arial Unicode MS"/>
    </w:rPr>
  </w:style>
  <w:style w:type="paragraph" w:styleId="Title">
    <w:name w:val="Title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Noto Sans CJK SC" w:cs="Arial Unicode MS"/>
    </w:rPr>
  </w:style>
  <w:style w:type="paragraph" w:styleId="Caption1">
    <w:name w:val="caption1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Indexheading1">
    <w:name w:val="index heading1"/>
    <w:basedOn w:val="Title"/>
    <w:qFormat/>
    <w:pPr/>
    <w:rPr/>
  </w:style>
  <w:style w:type="paragraph" w:styleId="Caption11" w:customStyle="1">
    <w:name w:val="caption11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Indexheading11" w:customStyle="1">
    <w:name w:val="index heading11"/>
    <w:basedOn w:val="Title"/>
    <w:qFormat/>
    <w:pPr/>
    <w:rPr/>
  </w:style>
  <w:style w:type="paragraph" w:styleId="Caption111" w:customStyle="1">
    <w:name w:val="caption111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Indexheading111" w:customStyle="1">
    <w:name w:val="index heading111"/>
    <w:basedOn w:val="Title"/>
    <w:qFormat/>
    <w:pPr/>
    <w:rPr/>
  </w:style>
  <w:style w:type="paragraph" w:styleId="Caption1111" w:customStyle="1">
    <w:name w:val="caption1111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Indexheading1111" w:customStyle="1">
    <w:name w:val="index heading1111"/>
    <w:basedOn w:val="Title"/>
    <w:qFormat/>
    <w:pPr/>
    <w:rPr/>
  </w:style>
  <w:style w:type="paragraph" w:styleId="Style17" w:customStyle="1">
    <w:name w:val="Название раздела инструкции"/>
    <w:basedOn w:val="Normal"/>
    <w:autoRedefine/>
    <w:qFormat/>
    <w:rsid w:val="00275328"/>
    <w:pPr>
      <w:jc w:val="center"/>
    </w:pPr>
    <w:rPr>
      <w:b/>
    </w:rPr>
  </w:style>
  <w:style w:type="paragraph" w:styleId="Style18" w:customStyle="1">
    <w:name w:val="Раздел положения"/>
    <w:basedOn w:val="Normal"/>
    <w:autoRedefine/>
    <w:qFormat/>
    <w:rsid w:val="007475ee"/>
    <w:pPr>
      <w:numPr>
        <w:ilvl w:val="0"/>
        <w:numId w:val="1"/>
      </w:numPr>
      <w:spacing w:before="80" w:after="80"/>
      <w:jc w:val="center"/>
    </w:pPr>
    <w:rPr>
      <w:b/>
      <w:sz w:val="32"/>
      <w:szCs w:val="32"/>
    </w:rPr>
  </w:style>
  <w:style w:type="paragraph" w:styleId="Style19" w:customStyle="1">
    <w:name w:val="Подраздел раздела положения"/>
    <w:basedOn w:val="Normal"/>
    <w:autoRedefine/>
    <w:qFormat/>
    <w:rsid w:val="007475ee"/>
    <w:pPr>
      <w:numPr>
        <w:ilvl w:val="1"/>
        <w:numId w:val="1"/>
      </w:numPr>
      <w:tabs>
        <w:tab w:val="clear" w:pos="708"/>
        <w:tab w:val="left" w:pos="360" w:leader="none"/>
      </w:tabs>
      <w:spacing w:before="80" w:after="80"/>
      <w:jc w:val="both"/>
    </w:pPr>
    <w:rPr/>
  </w:style>
  <w:style w:type="paragraph" w:styleId="FootnoteText">
    <w:name w:val="Footnote Text"/>
    <w:basedOn w:val="Normal"/>
    <w:link w:val="Style5"/>
    <w:rsid w:val="00d561d9"/>
    <w:pPr/>
    <w:rPr>
      <w:sz w:val="20"/>
      <w:szCs w:val="20"/>
    </w:rPr>
  </w:style>
  <w:style w:type="paragraph" w:styleId="13" w:customStyle="1">
    <w:name w:val="Шапка 1"/>
    <w:basedOn w:val="Normal"/>
    <w:qFormat/>
    <w:rsid w:val="00d561d9"/>
    <w:pPr>
      <w:pBdr>
        <w:bottom w:val="thickThinSmallGap" w:sz="24" w:space="1" w:color="000000"/>
      </w:pBdr>
      <w:spacing w:before="0" w:after="240"/>
      <w:jc w:val="center"/>
    </w:pPr>
    <w:rPr>
      <w:sz w:val="22"/>
      <w:szCs w:val="22"/>
    </w:rPr>
  </w:style>
  <w:style w:type="paragraph" w:styleId="23" w:customStyle="1">
    <w:name w:val="Шапка 2"/>
    <w:basedOn w:val="Normal"/>
    <w:qFormat/>
    <w:rsid w:val="00d561d9"/>
    <w:pPr>
      <w:pBdr>
        <w:bottom w:val="thickThinSmallGap" w:sz="24" w:space="1" w:color="000000"/>
      </w:pBdr>
      <w:spacing w:before="0" w:after="120"/>
      <w:jc w:val="center"/>
    </w:pPr>
    <w:rPr>
      <w:b/>
      <w:sz w:val="22"/>
      <w:szCs w:val="22"/>
    </w:rPr>
  </w:style>
  <w:style w:type="paragraph" w:styleId="32" w:customStyle="1">
    <w:name w:val="Шапка 3"/>
    <w:basedOn w:val="Normal"/>
    <w:qFormat/>
    <w:rsid w:val="00d561d9"/>
    <w:pPr>
      <w:pBdr>
        <w:bottom w:val="thickThinSmallGap" w:sz="24" w:space="1" w:color="000000"/>
      </w:pBdr>
      <w:spacing w:before="240" w:after="360"/>
      <w:jc w:val="center"/>
    </w:pPr>
    <w:rPr>
      <w:b/>
      <w:sz w:val="24"/>
      <w:szCs w:val="24"/>
    </w:rPr>
  </w:style>
  <w:style w:type="paragraph" w:styleId="14" w:customStyle="1">
    <w:name w:val="Название1"/>
    <w:basedOn w:val="Normal"/>
    <w:link w:val="Style1"/>
    <w:uiPriority w:val="10"/>
    <w:qFormat/>
    <w:rsid w:val="00bd4014"/>
    <w:pPr>
      <w:jc w:val="center"/>
    </w:pPr>
    <w:rPr>
      <w:szCs w:val="20"/>
      <w:lang w:val="x-none" w:eastAsia="x-none"/>
    </w:rPr>
  </w:style>
  <w:style w:type="paragraph" w:styleId="Style20" w:customStyle="1">
    <w:name w:val="Колонтитул"/>
    <w:basedOn w:val="Normal"/>
    <w:qFormat/>
    <w:pPr/>
    <w:rPr/>
  </w:style>
  <w:style w:type="paragraph" w:styleId="Header">
    <w:name w:val="Header"/>
    <w:basedOn w:val="Normal"/>
    <w:link w:val="Style10"/>
    <w:uiPriority w:val="99"/>
    <w:rsid w:val="0076353a"/>
    <w:pPr>
      <w:tabs>
        <w:tab w:val="clear" w:pos="708"/>
        <w:tab w:val="center" w:pos="4677" w:leader="none"/>
        <w:tab w:val="right" w:pos="9355" w:leader="none"/>
      </w:tabs>
    </w:pPr>
    <w:rPr>
      <w:sz w:val="24"/>
      <w:szCs w:val="24"/>
    </w:rPr>
  </w:style>
  <w:style w:type="paragraph" w:styleId="BodyTextIndent">
    <w:name w:val="Body Text Indent"/>
    <w:basedOn w:val="Normal"/>
    <w:rsid w:val="0076353a"/>
    <w:pPr>
      <w:ind w:left="360" w:hanging="0"/>
    </w:pPr>
    <w:rPr>
      <w:sz w:val="24"/>
      <w:szCs w:val="24"/>
    </w:rPr>
  </w:style>
  <w:style w:type="paragraph" w:styleId="Footer">
    <w:name w:val="Footer"/>
    <w:basedOn w:val="Normal"/>
    <w:rsid w:val="0076353a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BodyTextIndent2">
    <w:name w:val="Body Text Indent 2"/>
    <w:basedOn w:val="Normal"/>
    <w:qFormat/>
    <w:rsid w:val="0076353a"/>
    <w:pPr>
      <w:spacing w:lineRule="auto" w:line="480" w:before="0" w:after="120"/>
      <w:ind w:left="283" w:hanging="0"/>
    </w:pPr>
    <w:rPr/>
  </w:style>
  <w:style w:type="paragraph" w:styleId="BodyText3">
    <w:name w:val="Body Text 3"/>
    <w:basedOn w:val="Normal"/>
    <w:qFormat/>
    <w:rsid w:val="0076353a"/>
    <w:pPr>
      <w:spacing w:before="0" w:after="120"/>
    </w:pPr>
    <w:rPr>
      <w:sz w:val="16"/>
      <w:szCs w:val="16"/>
    </w:rPr>
  </w:style>
  <w:style w:type="paragraph" w:styleId="BodyTextIndent3">
    <w:name w:val="Body Text Indent 3"/>
    <w:basedOn w:val="Normal"/>
    <w:qFormat/>
    <w:rsid w:val="0076353a"/>
    <w:pPr>
      <w:spacing w:before="0" w:after="120"/>
      <w:ind w:left="283" w:hanging="0"/>
    </w:pPr>
    <w:rPr>
      <w:sz w:val="16"/>
      <w:szCs w:val="16"/>
    </w:rPr>
  </w:style>
  <w:style w:type="paragraph" w:styleId="BodyText2">
    <w:name w:val="Body Text 2"/>
    <w:basedOn w:val="Normal"/>
    <w:qFormat/>
    <w:rsid w:val="0076353a"/>
    <w:pPr>
      <w:spacing w:lineRule="auto" w:line="480" w:before="0" w:after="120"/>
    </w:pPr>
    <w:rPr/>
  </w:style>
  <w:style w:type="paragraph" w:styleId="BlockText">
    <w:name w:val="Block Text"/>
    <w:basedOn w:val="Normal"/>
    <w:qFormat/>
    <w:rsid w:val="0076353a"/>
    <w:pPr>
      <w:ind w:left="-567" w:right="-766" w:hanging="0"/>
      <w:jc w:val="center"/>
    </w:pPr>
    <w:rPr>
      <w:b/>
      <w:bCs/>
      <w:sz w:val="24"/>
      <w:szCs w:val="20"/>
    </w:rPr>
  </w:style>
  <w:style w:type="paragraph" w:styleId="Style21" w:customStyle="1">
    <w:name w:val="Подпункт"/>
    <w:basedOn w:val="Normal"/>
    <w:link w:val="11"/>
    <w:qFormat/>
    <w:rsid w:val="0076353a"/>
    <w:pPr>
      <w:tabs>
        <w:tab w:val="clear" w:pos="708"/>
        <w:tab w:val="left" w:pos="1134" w:leader="none"/>
      </w:tabs>
      <w:snapToGrid w:val="false"/>
      <w:spacing w:lineRule="auto" w:line="360"/>
      <w:ind w:left="1134" w:hanging="1134"/>
      <w:jc w:val="both"/>
    </w:pPr>
    <w:rPr>
      <w:szCs w:val="20"/>
      <w:lang w:val="x-none" w:eastAsia="x-none"/>
    </w:rPr>
  </w:style>
  <w:style w:type="paragraph" w:styleId="24" w:customStyle="1">
    <w:name w:val="Пункт2"/>
    <w:basedOn w:val="Normal"/>
    <w:link w:val="22"/>
    <w:qFormat/>
    <w:rsid w:val="0076353a"/>
    <w:pPr>
      <w:keepNext w:val="true"/>
      <w:tabs>
        <w:tab w:val="clear" w:pos="708"/>
        <w:tab w:val="left" w:pos="1134" w:leader="none"/>
      </w:tabs>
      <w:snapToGrid w:val="false"/>
      <w:spacing w:before="240" w:after="120"/>
      <w:ind w:left="1134" w:hanging="1134"/>
      <w:outlineLvl w:val="2"/>
    </w:pPr>
    <w:rPr>
      <w:b/>
      <w:szCs w:val="20"/>
    </w:rPr>
  </w:style>
  <w:style w:type="paragraph" w:styleId="TOC1">
    <w:name w:val="TOC 1"/>
    <w:basedOn w:val="Normal"/>
    <w:next w:val="Normal"/>
    <w:autoRedefine/>
    <w:uiPriority w:val="39"/>
    <w:rsid w:val="00607c5c"/>
    <w:pPr>
      <w:spacing w:before="120" w:after="0"/>
    </w:pPr>
    <w:rPr>
      <w:rFonts w:cs="Calibri" w:cstheme="minorHAnsi"/>
      <w:b/>
      <w:bCs/>
      <w:iCs/>
      <w:sz w:val="24"/>
      <w:szCs w:val="24"/>
    </w:rPr>
  </w:style>
  <w:style w:type="paragraph" w:styleId="TOC3">
    <w:name w:val="TOC 3"/>
    <w:basedOn w:val="Normal"/>
    <w:next w:val="Normal"/>
    <w:autoRedefine/>
    <w:uiPriority w:val="39"/>
    <w:rsid w:val="00607c5c"/>
    <w:pPr>
      <w:ind w:left="560" w:hanging="0"/>
    </w:pPr>
    <w:rPr>
      <w:rFonts w:cs="Calibri" w:cstheme="minorHAnsi"/>
      <w:sz w:val="20"/>
      <w:szCs w:val="20"/>
    </w:rPr>
  </w:style>
  <w:style w:type="paragraph" w:styleId="Style22" w:customStyle="1">
    <w:name w:val="Раздел регламента"/>
    <w:basedOn w:val="Normal"/>
    <w:qFormat/>
    <w:rsid w:val="00e228fa"/>
    <w:pPr/>
    <w:rPr/>
  </w:style>
  <w:style w:type="paragraph" w:styleId="Style23" w:customStyle="1">
    <w:name w:val="Приложение к регламенту"/>
    <w:basedOn w:val="Normal"/>
    <w:qFormat/>
    <w:rsid w:val="00e228fa"/>
    <w:pPr>
      <w:jc w:val="right"/>
    </w:pPr>
    <w:rPr/>
  </w:style>
  <w:style w:type="paragraph" w:styleId="TOC2">
    <w:name w:val="TOC 2"/>
    <w:basedOn w:val="Normal"/>
    <w:next w:val="Normal"/>
    <w:autoRedefine/>
    <w:uiPriority w:val="39"/>
    <w:rsid w:val="00607c5c"/>
    <w:pPr>
      <w:spacing w:before="120" w:after="0"/>
      <w:ind w:left="280" w:hanging="0"/>
    </w:pPr>
    <w:rPr>
      <w:rFonts w:cs="Calibri" w:cstheme="minorHAnsi"/>
      <w:b/>
      <w:bCs/>
      <w:sz w:val="22"/>
      <w:szCs w:val="22"/>
    </w:rPr>
  </w:style>
  <w:style w:type="paragraph" w:styleId="BalloonText">
    <w:name w:val="Balloon Text"/>
    <w:basedOn w:val="Normal"/>
    <w:semiHidden/>
    <w:qFormat/>
    <w:rsid w:val="00197c91"/>
    <w:pPr/>
    <w:rPr>
      <w:rFonts w:ascii="Tahoma" w:hAnsi="Tahoma" w:cs="Tahoma"/>
      <w:sz w:val="16"/>
      <w:szCs w:val="16"/>
    </w:rPr>
  </w:style>
  <w:style w:type="paragraph" w:styleId="Annotationtext">
    <w:name w:val="annotation text"/>
    <w:basedOn w:val="Normal"/>
    <w:link w:val="Style11"/>
    <w:qFormat/>
    <w:rsid w:val="00b714b0"/>
    <w:pPr/>
    <w:rPr>
      <w:sz w:val="20"/>
      <w:szCs w:val="20"/>
    </w:rPr>
  </w:style>
  <w:style w:type="paragraph" w:styleId="Annotationsubject">
    <w:name w:val="annotation subject"/>
    <w:basedOn w:val="Annotationtext"/>
    <w:next w:val="Annotationtext"/>
    <w:semiHidden/>
    <w:qFormat/>
    <w:rsid w:val="00b714b0"/>
    <w:pPr/>
    <w:rPr>
      <w:b/>
      <w:bCs/>
    </w:rPr>
  </w:style>
  <w:style w:type="paragraph" w:styleId="15" w:customStyle="1">
    <w:name w:val="Обычный (веб)1"/>
    <w:basedOn w:val="Normal"/>
    <w:uiPriority w:val="99"/>
    <w:qFormat/>
    <w:rsid w:val="002f559a"/>
    <w:pPr>
      <w:spacing w:beforeAutospacing="1" w:afterAutospacing="1"/>
    </w:pPr>
    <w:rPr>
      <w:rFonts w:ascii="Arial Unicode MS" w:hAnsi="Arial Unicode MS" w:eastAsia="Arial Unicode MS" w:cs="Arial Unicode MS"/>
      <w:sz w:val="24"/>
      <w:szCs w:val="24"/>
    </w:rPr>
  </w:style>
  <w:style w:type="paragraph" w:styleId="TOC9">
    <w:name w:val="TOC 9"/>
    <w:basedOn w:val="Normal"/>
    <w:next w:val="Normal"/>
    <w:autoRedefine/>
    <w:semiHidden/>
    <w:rsid w:val="00f57628"/>
    <w:pPr>
      <w:ind w:left="2240" w:hanging="0"/>
    </w:pPr>
    <w:rPr>
      <w:rFonts w:ascii="Calibri" w:hAnsi="Calibri" w:cs="Calibri" w:asciiTheme="minorHAnsi" w:cstheme="minorHAnsi" w:hAnsiTheme="minorHAnsi"/>
      <w:sz w:val="20"/>
      <w:szCs w:val="20"/>
    </w:rPr>
  </w:style>
  <w:style w:type="paragraph" w:styleId="TOC5">
    <w:name w:val="TOC 5"/>
    <w:basedOn w:val="Normal"/>
    <w:next w:val="Normal"/>
    <w:autoRedefine/>
    <w:semiHidden/>
    <w:rsid w:val="00f57628"/>
    <w:pPr>
      <w:ind w:left="1120" w:hanging="0"/>
    </w:pPr>
    <w:rPr>
      <w:rFonts w:ascii="Calibri" w:hAnsi="Calibri" w:cs="Calibri" w:asciiTheme="minorHAnsi" w:cstheme="minorHAnsi" w:hAnsiTheme="minorHAnsi"/>
      <w:sz w:val="20"/>
      <w:szCs w:val="20"/>
    </w:rPr>
  </w:style>
  <w:style w:type="paragraph" w:styleId="TOC4">
    <w:name w:val="TOC 4"/>
    <w:basedOn w:val="Normal"/>
    <w:next w:val="Normal"/>
    <w:autoRedefine/>
    <w:uiPriority w:val="39"/>
    <w:rsid w:val="00607c5c"/>
    <w:pPr>
      <w:ind w:left="840" w:hanging="0"/>
    </w:pPr>
    <w:rPr>
      <w:rFonts w:cs="Calibri" w:cstheme="minorHAnsi"/>
      <w:sz w:val="20"/>
      <w:szCs w:val="20"/>
    </w:rPr>
  </w:style>
  <w:style w:type="paragraph" w:styleId="25" w:customStyle="1">
    <w:name w:val="Раздел положения 2"/>
    <w:basedOn w:val="Normal"/>
    <w:qFormat/>
    <w:rsid w:val="002c1e0e"/>
    <w:pPr>
      <w:pageBreakBefore/>
      <w:jc w:val="both"/>
      <w:outlineLvl w:val="0"/>
    </w:pPr>
    <w:rPr>
      <w:b/>
    </w:rPr>
  </w:style>
  <w:style w:type="paragraph" w:styleId="Style24" w:customStyle="1">
    <w:name w:val="Знак Знак Знак Знак Знак Знак Знак Знак Знак"/>
    <w:basedOn w:val="Normal"/>
    <w:qFormat/>
    <w:rsid w:val="00d22f6d"/>
    <w:pPr>
      <w:spacing w:lineRule="exact" w:line="240" w:before="0" w:after="160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styleId="NoSpacing">
    <w:name w:val="No Spacing"/>
    <w:basedOn w:val="Normal"/>
    <w:uiPriority w:val="1"/>
    <w:qFormat/>
    <w:rsid w:val="00d22f6d"/>
    <w:pPr>
      <w:spacing w:lineRule="auto" w:line="360"/>
    </w:pPr>
    <w:rPr>
      <w:rFonts w:eastAsia="Calibri"/>
      <w:sz w:val="24"/>
      <w:szCs w:val="24"/>
    </w:rPr>
  </w:style>
  <w:style w:type="paragraph" w:styleId="Caption11111" w:customStyle="1">
    <w:name w:val="caption11111"/>
    <w:basedOn w:val="Normal"/>
    <w:next w:val="Normal"/>
    <w:uiPriority w:val="35"/>
    <w:qFormat/>
    <w:rsid w:val="00d22f6d"/>
    <w:pPr/>
    <w:rPr>
      <w:rFonts w:eastAsia="Calibri"/>
      <w:b/>
      <w:bCs/>
      <w:color w:val="4F81BD"/>
      <w:sz w:val="18"/>
      <w:szCs w:val="18"/>
    </w:rPr>
  </w:style>
  <w:style w:type="paragraph" w:styleId="Subtitle">
    <w:name w:val="Subtitle"/>
    <w:basedOn w:val="Normal"/>
    <w:next w:val="Normal"/>
    <w:link w:val="Style2"/>
    <w:uiPriority w:val="11"/>
    <w:qFormat/>
    <w:rsid w:val="00d22f6d"/>
    <w:pPr>
      <w:numPr>
        <w:ilvl w:val="1"/>
      </w:numPr>
      <w:ind w:left="1066" w:firstLine="709"/>
    </w:pPr>
    <w:rPr>
      <w:rFonts w:ascii="Cambria" w:hAnsi="Cambria"/>
      <w:i/>
      <w:iCs/>
      <w:color w:val="4F81BD"/>
      <w:spacing w:val="15"/>
      <w:sz w:val="24"/>
      <w:szCs w:val="24"/>
      <w:lang w:val="x-none" w:eastAsia="x-none"/>
    </w:rPr>
  </w:style>
  <w:style w:type="paragraph" w:styleId="ListParagraph">
    <w:name w:val="List Paragraph"/>
    <w:basedOn w:val="Normal"/>
    <w:link w:val="Style7"/>
    <w:uiPriority w:val="34"/>
    <w:qFormat/>
    <w:rsid w:val="00d22f6d"/>
    <w:pPr>
      <w:spacing w:before="0" w:after="0"/>
      <w:ind w:left="720" w:hanging="0"/>
      <w:contextualSpacing/>
    </w:pPr>
    <w:rPr>
      <w:rFonts w:eastAsia="Calibri"/>
      <w:sz w:val="24"/>
      <w:szCs w:val="24"/>
    </w:rPr>
  </w:style>
  <w:style w:type="paragraph" w:styleId="Quote">
    <w:name w:val="Quote"/>
    <w:basedOn w:val="Normal"/>
    <w:next w:val="Normal"/>
    <w:link w:val="21"/>
    <w:uiPriority w:val="29"/>
    <w:qFormat/>
    <w:rsid w:val="00d22f6d"/>
    <w:pPr/>
    <w:rPr>
      <w:rFonts w:ascii="Calibri" w:hAnsi="Calibri" w:eastAsia="Calibri"/>
      <w:i/>
      <w:iCs/>
      <w:color w:val="000000"/>
      <w:sz w:val="20"/>
      <w:szCs w:val="20"/>
      <w:lang w:val="x-none" w:eastAsia="x-none"/>
    </w:rPr>
  </w:style>
  <w:style w:type="paragraph" w:styleId="IntenseQuote">
    <w:name w:val="Intense Quote"/>
    <w:basedOn w:val="Normal"/>
    <w:next w:val="Normal"/>
    <w:link w:val="Style3"/>
    <w:uiPriority w:val="30"/>
    <w:qFormat/>
    <w:rsid w:val="00d22f6d"/>
    <w:pPr>
      <w:pBdr>
        <w:bottom w:val="single" w:sz="4" w:space="4" w:color="4F81BD"/>
      </w:pBdr>
      <w:spacing w:before="200" w:after="280"/>
      <w:ind w:left="936" w:right="936" w:hanging="0"/>
    </w:pPr>
    <w:rPr>
      <w:rFonts w:ascii="Calibri" w:hAnsi="Calibri" w:eastAsia="Calibri"/>
      <w:b/>
      <w:bCs/>
      <w:i/>
      <w:iCs/>
      <w:color w:val="4F81BD"/>
      <w:sz w:val="20"/>
      <w:szCs w:val="20"/>
      <w:lang w:val="x-none" w:eastAsia="x-none"/>
    </w:rPr>
  </w:style>
  <w:style w:type="paragraph" w:styleId="IndexHeading">
    <w:name w:val="Index Heading"/>
    <w:basedOn w:val="Style15"/>
    <w:pPr/>
    <w:rPr/>
  </w:style>
  <w:style w:type="paragraph" w:styleId="TOCHeading">
    <w:name w:val="TOC Heading"/>
    <w:basedOn w:val="Heading1"/>
    <w:next w:val="Normal"/>
    <w:uiPriority w:val="39"/>
    <w:qFormat/>
    <w:rsid w:val="00d22f6d"/>
    <w:pPr>
      <w:keepLines/>
      <w:spacing w:before="480" w:after="60"/>
      <w:outlineLvl w:val="9"/>
    </w:pPr>
    <w:rPr>
      <w:rFonts w:ascii="Cambria" w:hAnsi="Cambria"/>
      <w:bCs/>
      <w:color w:val="365F91"/>
    </w:rPr>
  </w:style>
  <w:style w:type="paragraph" w:styleId="E-mailSignature">
    <w:name w:val="E-mail Signature"/>
    <w:basedOn w:val="Normal"/>
    <w:link w:val="Style4"/>
    <w:uiPriority w:val="99"/>
    <w:unhideWhenUsed/>
    <w:qFormat/>
    <w:rsid w:val="00d22f6d"/>
    <w:pPr/>
    <w:rPr>
      <w:rFonts w:eastAsia="Calibri"/>
      <w:sz w:val="24"/>
      <w:szCs w:val="24"/>
      <w:lang w:val="x-none" w:eastAsia="x-none"/>
    </w:rPr>
  </w:style>
  <w:style w:type="paragraph" w:styleId="Style25" w:customStyle="1">
    <w:name w:val="Знак"/>
    <w:basedOn w:val="Normal"/>
    <w:qFormat/>
    <w:rsid w:val="00d22f6d"/>
    <w:pPr>
      <w:spacing w:lineRule="exact" w:line="240" w:before="0" w:after="160"/>
    </w:pPr>
    <w:rPr>
      <w:rFonts w:ascii="Verdana" w:hAnsi="Verdana" w:cs="Verdana"/>
      <w:sz w:val="20"/>
      <w:szCs w:val="20"/>
      <w:lang w:val="en-US" w:eastAsia="en-US"/>
    </w:rPr>
  </w:style>
  <w:style w:type="paragraph" w:styleId="33" w:customStyle="1">
    <w:name w:val="Нумерованный список ур3"/>
    <w:basedOn w:val="Normal"/>
    <w:qFormat/>
    <w:rsid w:val="00d22f6d"/>
    <w:pPr>
      <w:numPr>
        <w:ilvl w:val="2"/>
        <w:numId w:val="2"/>
      </w:numPr>
      <w:jc w:val="both"/>
    </w:pPr>
    <w:rPr>
      <w:rFonts w:ascii="Garamond" w:hAnsi="Garamond"/>
      <w:sz w:val="24"/>
      <w:szCs w:val="20"/>
    </w:rPr>
  </w:style>
  <w:style w:type="paragraph" w:styleId="41" w:customStyle="1">
    <w:name w:val="Маркированный список 41"/>
    <w:basedOn w:val="Normal"/>
    <w:qFormat/>
    <w:rsid w:val="00d22f6d"/>
    <w:pPr>
      <w:numPr>
        <w:ilvl w:val="0"/>
        <w:numId w:val="2"/>
      </w:numPr>
      <w:spacing w:before="120" w:after="0"/>
      <w:jc w:val="both"/>
    </w:pPr>
    <w:rPr>
      <w:rFonts w:ascii="Garamond" w:hAnsi="Garamond"/>
      <w:sz w:val="24"/>
      <w:szCs w:val="20"/>
    </w:rPr>
  </w:style>
  <w:style w:type="paragraph" w:styleId="26" w:customStyle="1">
    <w:name w:val="Нумерованный список ур2"/>
    <w:basedOn w:val="Normal"/>
    <w:qFormat/>
    <w:rsid w:val="00d22f6d"/>
    <w:pPr>
      <w:numPr>
        <w:ilvl w:val="1"/>
        <w:numId w:val="2"/>
      </w:numPr>
      <w:spacing w:before="120" w:after="0"/>
      <w:jc w:val="both"/>
    </w:pPr>
    <w:rPr>
      <w:rFonts w:ascii="Garamond" w:hAnsi="Garamond"/>
      <w:sz w:val="24"/>
      <w:szCs w:val="20"/>
    </w:rPr>
  </w:style>
  <w:style w:type="paragraph" w:styleId="Revision">
    <w:name w:val="Revision"/>
    <w:uiPriority w:val="99"/>
    <w:semiHidden/>
    <w:qFormat/>
    <w:rsid w:val="00d22f6d"/>
    <w:pPr>
      <w:widowControl/>
      <w:suppressAutoHyphens w:val="true"/>
      <w:bidi w:val="0"/>
      <w:spacing w:before="0" w:after="0"/>
      <w:jc w:val="left"/>
    </w:pPr>
    <w:rPr>
      <w:rFonts w:eastAsia="Calibri" w:ascii="Times New Roman" w:hAnsi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ConsPlusNormal" w:customStyle="1">
    <w:name w:val="ConsPlusNormal"/>
    <w:qFormat/>
    <w:rsid w:val="00d22f6d"/>
    <w:pPr>
      <w:widowControl w:val="false"/>
      <w:suppressAutoHyphens w:val="true"/>
      <w:bidi w:val="0"/>
      <w:spacing w:before="0" w:after="0"/>
      <w:ind w:firstLine="720"/>
      <w:jc w:val="left"/>
    </w:pPr>
    <w:rPr>
      <w:rFonts w:ascii="Arial" w:hAnsi="Arial" w:cs="Arial" w:eastAsia="Times New Roman"/>
      <w:color w:val="auto"/>
      <w:kern w:val="0"/>
      <w:sz w:val="20"/>
      <w:szCs w:val="20"/>
      <w:lang w:val="ru-RU" w:eastAsia="ru-RU" w:bidi="ar-SA"/>
    </w:rPr>
  </w:style>
  <w:style w:type="paragraph" w:styleId="34" w:customStyle="1">
    <w:name w:val="Знак Знак3 Знак Знак"/>
    <w:basedOn w:val="Normal"/>
    <w:qFormat/>
    <w:rsid w:val="00d22f6d"/>
    <w:pPr>
      <w:spacing w:lineRule="exact" w:line="240" w:before="0" w:after="160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styleId="Style26" w:customStyle="1">
    <w:name w:val="Пункт"/>
    <w:basedOn w:val="Normal"/>
    <w:qFormat/>
    <w:rsid w:val="00d22f6d"/>
    <w:pPr>
      <w:widowControl w:val="false"/>
      <w:tabs>
        <w:tab w:val="clear" w:pos="708"/>
        <w:tab w:val="left" w:pos="1134" w:leader="none"/>
      </w:tabs>
      <w:spacing w:lineRule="auto" w:line="360" w:before="120" w:after="0"/>
      <w:ind w:left="1134" w:right="800" w:hanging="1134"/>
      <w:jc w:val="both"/>
    </w:pPr>
    <w:rPr>
      <w:rFonts w:ascii="Arial" w:hAnsi="Arial"/>
      <w:b/>
      <w:i/>
      <w:szCs w:val="20"/>
    </w:rPr>
  </w:style>
  <w:style w:type="paragraph" w:styleId="16" w:customStyle="1">
    <w:name w:val="Абзац списка1"/>
    <w:basedOn w:val="Normal"/>
    <w:qFormat/>
    <w:rsid w:val="00d22f6d"/>
    <w:pPr>
      <w:spacing w:lineRule="auto" w:line="276" w:before="0" w:after="200"/>
      <w:ind w:left="720" w:hanging="0"/>
      <w:contextualSpacing/>
    </w:pPr>
    <w:rPr>
      <w:rFonts w:ascii="Calibri" w:hAnsi="Calibri"/>
      <w:sz w:val="22"/>
      <w:szCs w:val="22"/>
      <w:lang w:eastAsia="en-US"/>
    </w:rPr>
  </w:style>
  <w:style w:type="paragraph" w:styleId="Style27" w:customStyle="1">
    <w:name w:val="Таблица"/>
    <w:basedOn w:val="Normal"/>
    <w:qFormat/>
    <w:rsid w:val="0041356c"/>
    <w:pPr>
      <w:keepNext w:val="true"/>
      <w:spacing w:before="60" w:after="60"/>
      <w:jc w:val="center"/>
    </w:pPr>
    <w:rPr>
      <w:rFonts w:eastAsia="Calibri"/>
      <w:b/>
      <w:sz w:val="24"/>
      <w:szCs w:val="24"/>
      <w:lang w:val="x-none" w:eastAsia="x-none"/>
    </w:rPr>
  </w:style>
  <w:style w:type="paragraph" w:styleId="Style28" w:customStyle="1">
    <w:name w:val="Таблица шапка"/>
    <w:basedOn w:val="Normal"/>
    <w:qFormat/>
    <w:rsid w:val="00f64089"/>
    <w:pPr>
      <w:keepNext w:val="true"/>
      <w:spacing w:before="40" w:after="40"/>
      <w:ind w:left="57" w:right="57" w:hanging="0"/>
    </w:pPr>
    <w:rPr>
      <w:sz w:val="22"/>
      <w:szCs w:val="26"/>
    </w:rPr>
  </w:style>
  <w:style w:type="paragraph" w:styleId="Style29" w:customStyle="1">
    <w:name w:val="Подподпункт"/>
    <w:basedOn w:val="Style21"/>
    <w:link w:val="Style9"/>
    <w:qFormat/>
    <w:rsid w:val="0025139e"/>
    <w:pPr>
      <w:tabs>
        <w:tab w:val="clear" w:pos="1134"/>
        <w:tab w:val="left" w:pos="5104" w:leader="none"/>
      </w:tabs>
      <w:snapToGrid w:val="true"/>
      <w:spacing w:lineRule="auto" w:line="240" w:before="120" w:after="0"/>
      <w:ind w:left="5104" w:hanging="567"/>
    </w:pPr>
    <w:rPr>
      <w:sz w:val="26"/>
      <w:szCs w:val="26"/>
      <w:lang w:val="ru-RU" w:eastAsia="ru-RU"/>
    </w:rPr>
  </w:style>
  <w:style w:type="paragraph" w:styleId="Style30" w:customStyle="1">
    <w:name w:val="УРОВЕНЬ_(а)"/>
    <w:basedOn w:val="ListParagraph"/>
    <w:qFormat/>
    <w:rsid w:val="00b56f46"/>
    <w:pPr>
      <w:numPr>
        <w:ilvl w:val="3"/>
        <w:numId w:val="4"/>
      </w:numPr>
      <w:spacing w:lineRule="exact" w:line="360" w:before="120" w:after="0"/>
      <w:contextualSpacing w:val="false"/>
      <w:jc w:val="both"/>
      <w:outlineLvl w:val="3"/>
    </w:pPr>
    <w:rPr>
      <w:sz w:val="26"/>
      <w:szCs w:val="28"/>
      <w:lang w:eastAsia="en-US"/>
    </w:rPr>
  </w:style>
  <w:style w:type="paragraph" w:styleId="-" w:customStyle="1">
    <w:name w:val="УРОВЕНЬ_-"/>
    <w:basedOn w:val="ListParagraph"/>
    <w:qFormat/>
    <w:rsid w:val="00b56f46"/>
    <w:pPr>
      <w:numPr>
        <w:ilvl w:val="4"/>
        <w:numId w:val="4"/>
      </w:numPr>
      <w:spacing w:lineRule="exact" w:line="360" w:before="120" w:after="0"/>
      <w:contextualSpacing w:val="false"/>
      <w:jc w:val="both"/>
      <w:outlineLvl w:val="4"/>
    </w:pPr>
    <w:rPr>
      <w:sz w:val="26"/>
      <w:szCs w:val="28"/>
      <w:lang w:eastAsia="en-US"/>
    </w:rPr>
  </w:style>
  <w:style w:type="paragraph" w:styleId="27" w:customStyle="1">
    <w:name w:val="УРОВЕНЬ_Абзац_тип2"/>
    <w:basedOn w:val="ListParagraph"/>
    <w:qFormat/>
    <w:rsid w:val="00b56f46"/>
    <w:pPr>
      <w:numPr>
        <w:ilvl w:val="6"/>
        <w:numId w:val="4"/>
      </w:numPr>
      <w:spacing w:lineRule="exact" w:line="360" w:before="120" w:after="0"/>
      <w:contextualSpacing w:val="false"/>
      <w:jc w:val="both"/>
    </w:pPr>
    <w:rPr>
      <w:sz w:val="26"/>
      <w:szCs w:val="28"/>
      <w:lang w:eastAsia="en-US"/>
    </w:rPr>
  </w:style>
  <w:style w:type="paragraph" w:styleId="35" w:customStyle="1">
    <w:name w:val="УРОВЕНЬ_Абзац_тип3"/>
    <w:basedOn w:val="ListParagraph"/>
    <w:link w:val="31"/>
    <w:qFormat/>
    <w:rsid w:val="00b56f46"/>
    <w:pPr>
      <w:numPr>
        <w:ilvl w:val="7"/>
        <w:numId w:val="4"/>
      </w:numPr>
      <w:spacing w:lineRule="exact" w:line="360" w:before="120" w:after="0"/>
      <w:contextualSpacing w:val="false"/>
      <w:jc w:val="both"/>
    </w:pPr>
    <w:rPr>
      <w:sz w:val="26"/>
      <w:szCs w:val="28"/>
      <w:lang w:eastAsia="en-US"/>
    </w:rPr>
  </w:style>
  <w:style w:type="paragraph" w:styleId="Style31" w:customStyle="1">
    <w:name w:val="УРОВЕНЬ_Подпись"/>
    <w:basedOn w:val="ListParagraph"/>
    <w:qFormat/>
    <w:rsid w:val="00b56f46"/>
    <w:pPr>
      <w:keepNext w:val="true"/>
      <w:numPr>
        <w:ilvl w:val="5"/>
        <w:numId w:val="4"/>
      </w:numPr>
      <w:spacing w:lineRule="exact" w:line="360" w:before="120" w:after="120"/>
      <w:contextualSpacing w:val="false"/>
      <w:jc w:val="right"/>
      <w:outlineLvl w:val="3"/>
    </w:pPr>
    <w:rPr>
      <w:sz w:val="26"/>
      <w:szCs w:val="28"/>
      <w:lang w:eastAsia="en-US"/>
    </w:rPr>
  </w:style>
  <w:style w:type="paragraph" w:styleId="17" w:customStyle="1">
    <w:name w:val="Стиль Заголовок 1 + по ширине"/>
    <w:basedOn w:val="Heading1"/>
    <w:qFormat/>
    <w:rsid w:val="005773b2"/>
    <w:pPr>
      <w:keepLines/>
      <w:numPr>
        <w:ilvl w:val="0"/>
        <w:numId w:val="0"/>
      </w:numPr>
      <w:tabs>
        <w:tab w:val="clear" w:pos="708"/>
        <w:tab w:val="left" w:pos="567" w:leader="none"/>
      </w:tabs>
      <w:spacing w:before="480" w:after="240"/>
      <w:ind w:left="567" w:hanging="567"/>
      <w:jc w:val="both"/>
    </w:pPr>
    <w:rPr>
      <w:rFonts w:ascii="Arial" w:hAnsi="Arial" w:eastAsia="Times New Roman"/>
      <w:bCs/>
      <w:kern w:val="2"/>
      <w:sz w:val="40"/>
      <w:szCs w:val="20"/>
      <w:lang w:val="ru-RU" w:eastAsia="ru-RU"/>
    </w:rPr>
  </w:style>
  <w:style w:type="paragraph" w:styleId="EndnoteText">
    <w:name w:val="Endnote Text"/>
    <w:basedOn w:val="Normal"/>
    <w:link w:val="Style12"/>
    <w:rsid w:val="003879d4"/>
    <w:pPr/>
    <w:rPr>
      <w:sz w:val="20"/>
      <w:szCs w:val="20"/>
    </w:rPr>
  </w:style>
  <w:style w:type="paragraph" w:styleId="28" w:customStyle="1">
    <w:name w:val="Заголовок 2 КВВ"/>
    <w:basedOn w:val="Normal"/>
    <w:qFormat/>
    <w:rsid w:val="00cb35e8"/>
    <w:pPr>
      <w:keepNext w:val="true"/>
      <w:numPr>
        <w:ilvl w:val="0"/>
        <w:numId w:val="5"/>
      </w:numPr>
      <w:spacing w:before="120" w:after="120"/>
      <w:jc w:val="both"/>
      <w:outlineLvl w:val="0"/>
    </w:pPr>
    <w:rPr>
      <w:b/>
      <w:kern w:val="2"/>
      <w:sz w:val="24"/>
      <w:szCs w:val="20"/>
      <w:lang w:eastAsia="x-none"/>
    </w:rPr>
  </w:style>
  <w:style w:type="paragraph" w:styleId="Style32" w:customStyle="1">
    <w:name w:val="Таблица текст"/>
    <w:basedOn w:val="Normal"/>
    <w:qFormat/>
    <w:rsid w:val="00343e95"/>
    <w:pPr>
      <w:spacing w:before="40" w:after="40"/>
      <w:ind w:left="57" w:right="57" w:hanging="0"/>
    </w:pPr>
    <w:rPr>
      <w:sz w:val="24"/>
      <w:szCs w:val="26"/>
    </w:rPr>
  </w:style>
  <w:style w:type="paragraph" w:styleId="NormalWeb">
    <w:name w:val="Normal (Web)"/>
    <w:basedOn w:val="Normal"/>
    <w:uiPriority w:val="99"/>
    <w:unhideWhenUsed/>
    <w:qFormat/>
    <w:rsid w:val="00265d9f"/>
    <w:pPr>
      <w:spacing w:beforeAutospacing="1" w:afterAutospacing="1"/>
    </w:pPr>
    <w:rPr>
      <w:sz w:val="24"/>
      <w:szCs w:val="24"/>
    </w:rPr>
  </w:style>
  <w:style w:type="paragraph" w:styleId="TOC6">
    <w:name w:val="TOC 6"/>
    <w:basedOn w:val="Normal"/>
    <w:next w:val="Normal"/>
    <w:autoRedefine/>
    <w:semiHidden/>
    <w:unhideWhenUsed/>
    <w:rsid w:val="00796dd1"/>
    <w:pPr>
      <w:ind w:left="1400" w:hanging="0"/>
    </w:pPr>
    <w:rPr>
      <w:rFonts w:ascii="Calibri" w:hAnsi="Calibri" w:cs="Calibri" w:asciiTheme="minorHAnsi" w:cstheme="minorHAnsi" w:hAnsiTheme="minorHAnsi"/>
      <w:sz w:val="20"/>
      <w:szCs w:val="20"/>
    </w:rPr>
  </w:style>
  <w:style w:type="paragraph" w:styleId="TOC7">
    <w:name w:val="TOC 7"/>
    <w:basedOn w:val="Normal"/>
    <w:next w:val="Normal"/>
    <w:autoRedefine/>
    <w:semiHidden/>
    <w:unhideWhenUsed/>
    <w:rsid w:val="00796dd1"/>
    <w:pPr>
      <w:ind w:left="1680" w:hanging="0"/>
    </w:pPr>
    <w:rPr>
      <w:rFonts w:ascii="Calibri" w:hAnsi="Calibri" w:cs="Calibri" w:asciiTheme="minorHAnsi" w:cstheme="minorHAnsi" w:hAnsiTheme="minorHAnsi"/>
      <w:sz w:val="20"/>
      <w:szCs w:val="20"/>
    </w:rPr>
  </w:style>
  <w:style w:type="paragraph" w:styleId="TOC8">
    <w:name w:val="TOC 8"/>
    <w:basedOn w:val="Normal"/>
    <w:next w:val="Normal"/>
    <w:autoRedefine/>
    <w:semiHidden/>
    <w:unhideWhenUsed/>
    <w:rsid w:val="00796dd1"/>
    <w:pPr>
      <w:ind w:left="1960" w:hanging="0"/>
    </w:pPr>
    <w:rPr>
      <w:rFonts w:ascii="Calibri" w:hAnsi="Calibri" w:cs="Calibri" w:asciiTheme="minorHAnsi" w:cstheme="minorHAnsi" w:hAnsiTheme="minorHAnsi"/>
      <w:sz w:val="20"/>
      <w:szCs w:val="20"/>
    </w:rPr>
  </w:style>
  <w:style w:type="paragraph" w:styleId="ListNumber">
    <w:name w:val="List Number"/>
    <w:basedOn w:val="Normal"/>
    <w:qFormat/>
    <w:rsid w:val="00c31dfd"/>
    <w:pPr>
      <w:numPr>
        <w:ilvl w:val="0"/>
        <w:numId w:val="6"/>
      </w:numPr>
    </w:pPr>
    <w:rPr>
      <w:sz w:val="24"/>
      <w:szCs w:val="24"/>
    </w:rPr>
  </w:style>
  <w:style w:type="paragraph" w:styleId="29" w:customStyle="1">
    <w:name w:val="2. Пункт"/>
    <w:basedOn w:val="Heading3"/>
    <w:qFormat/>
    <w:rsid w:val="00c31dfd"/>
    <w:pPr>
      <w:keepNext w:val="false"/>
      <w:widowControl w:val="false"/>
      <w:numPr>
        <w:ilvl w:val="2"/>
        <w:numId w:val="6"/>
      </w:numPr>
      <w:spacing w:before="0" w:after="0"/>
      <w:jc w:val="both"/>
      <w:textAlignment w:val="baseline"/>
    </w:pPr>
    <w:rPr>
      <w:rFonts w:eastAsia="Times New Roman"/>
      <w:b w:val="false"/>
      <w:lang w:val="ru-RU" w:eastAsia="ar-SA"/>
    </w:rPr>
  </w:style>
  <w:style w:type="paragraph" w:styleId="Default" w:customStyle="1">
    <w:name w:val="Default"/>
    <w:qFormat/>
    <w:rsid w:val="00e901a1"/>
    <w:pPr>
      <w:widowControl/>
      <w:suppressAutoHyphens w:val="true"/>
      <w:bidi w:val="0"/>
      <w:spacing w:before="0" w:after="0"/>
      <w:jc w:val="left"/>
    </w:pPr>
    <w:rPr>
      <w:rFonts w:eastAsia="Calibri" w:ascii="Times New Roman" w:hAnsi="Times New Roman" w:cs="Times New Roman"/>
      <w:color w:val="000000"/>
      <w:kern w:val="0"/>
      <w:sz w:val="24"/>
      <w:szCs w:val="24"/>
      <w:lang w:eastAsia="en-US" w:val="ru-RU" w:bidi="ar-SA"/>
    </w:rPr>
  </w:style>
  <w:style w:type="paragraph" w:styleId="Style33" w:customStyle="1">
    <w:name w:val="Пункт Знак"/>
    <w:basedOn w:val="Normal"/>
    <w:qFormat/>
    <w:rsid w:val="000c0db2"/>
    <w:pPr>
      <w:tabs>
        <w:tab w:val="clear" w:pos="708"/>
        <w:tab w:val="left" w:pos="851" w:leader="none"/>
        <w:tab w:val="left" w:pos="1134" w:leader="none"/>
        <w:tab w:val="left" w:pos="1844" w:leader="none"/>
      </w:tabs>
      <w:spacing w:lineRule="auto" w:line="360"/>
      <w:ind w:left="1844" w:hanging="567"/>
      <w:jc w:val="both"/>
    </w:pPr>
    <w:rPr>
      <w:b/>
      <w:szCs w:val="20"/>
    </w:rPr>
  </w:style>
  <w:style w:type="paragraph" w:styleId="Style34" w:customStyle="1">
    <w:name w:val="Подподподпункт"/>
    <w:basedOn w:val="Normal"/>
    <w:qFormat/>
    <w:rsid w:val="000c0db2"/>
    <w:pPr>
      <w:tabs>
        <w:tab w:val="clear" w:pos="708"/>
        <w:tab w:val="left" w:pos="1134" w:leader="none"/>
        <w:tab w:val="left" w:pos="1701" w:leader="none"/>
      </w:tabs>
      <w:spacing w:lineRule="auto" w:line="360"/>
      <w:ind w:left="1718" w:hanging="1008"/>
      <w:jc w:val="both"/>
    </w:pPr>
    <w:rPr>
      <w:szCs w:val="20"/>
    </w:rPr>
  </w:style>
  <w:style w:type="paragraph" w:styleId="18" w:customStyle="1">
    <w:name w:val="Пункт1"/>
    <w:basedOn w:val="Normal"/>
    <w:qFormat/>
    <w:rsid w:val="000c0db2"/>
    <w:pPr>
      <w:tabs>
        <w:tab w:val="clear" w:pos="708"/>
        <w:tab w:val="left" w:pos="567" w:leader="none"/>
      </w:tabs>
      <w:spacing w:lineRule="auto" w:line="360" w:before="240" w:after="0"/>
      <w:ind w:left="567" w:hanging="279"/>
      <w:jc w:val="center"/>
    </w:pPr>
    <w:rPr>
      <w:rFonts w:ascii="Arial" w:hAnsi="Arial"/>
      <w:b/>
    </w:rPr>
  </w:style>
  <w:style w:type="paragraph" w:styleId="Style35" w:customStyle="1">
    <w:name w:val="Содержимое врезки"/>
    <w:basedOn w:val="Normal"/>
    <w:qFormat/>
    <w:pPr/>
    <w:rPr/>
  </w:style>
  <w:style w:type="numbering" w:styleId="NoList" w:default="1">
    <w:name w:val="No List"/>
    <w:uiPriority w:val="99"/>
    <w:semiHidden/>
    <w:unhideWhenUsed/>
    <w:qFormat/>
  </w:style>
  <w:style w:type="numbering" w:styleId="19" w:customStyle="1">
    <w:name w:val="Стиль1"/>
    <w:uiPriority w:val="99"/>
    <w:qFormat/>
    <w:rsid w:val="00f001e4"/>
  </w:style>
  <w:style w:type="numbering" w:styleId="210" w:customStyle="1">
    <w:name w:val="Стиль2"/>
    <w:uiPriority w:val="99"/>
    <w:qFormat/>
    <w:rsid w:val="006629c9"/>
  </w:style>
  <w:style w:type="table" w:default="1" w:styleId="a6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ffff9">
    <w:name w:val="Table Grid"/>
    <w:basedOn w:val="a6"/>
    <w:rsid w:val="0076353a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hyperlink" Target="http://docs.cntd.ru/document/901821883" TargetMode="External"/><Relationship Id="rId6" Type="http://schemas.openxmlformats.org/officeDocument/2006/relationships/header" Target="header4.xml"/><Relationship Id="rId7" Type="http://schemas.openxmlformats.org/officeDocument/2006/relationships/header" Target="header5.xml"/><Relationship Id="rId8" Type="http://schemas.openxmlformats.org/officeDocument/2006/relationships/header" Target="header6.xml"/><Relationship Id="rId9" Type="http://schemas.openxmlformats.org/officeDocument/2006/relationships/header" Target="header7.xml"/><Relationship Id="rId10" Type="http://schemas.openxmlformats.org/officeDocument/2006/relationships/numbering" Target="numbering.xml"/><Relationship Id="rId11" Type="http://schemas.openxmlformats.org/officeDocument/2006/relationships/fontTable" Target="fontTable.xml"/><Relationship Id="rId12" Type="http://schemas.openxmlformats.org/officeDocument/2006/relationships/settings" Target="settings.xml"/><Relationship Id="rId13" Type="http://schemas.openxmlformats.org/officeDocument/2006/relationships/theme" Target="theme/theme1.xml"/><Relationship Id="rId14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5BC7ED-4B90-4091-A79B-29A84E2B21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918</TotalTime>
  <Application>AlterOffice/3.4.0.9$Linux_X86_64 LibreOffice_project/b8daf9e823b1a5463a2f48435ddc2e8696e7d4fc</Application>
  <AppVersion>15.0000</AppVersion>
  <Pages>12</Pages>
  <Words>1925</Words>
  <Characters>13926</Characters>
  <CharactersWithSpaces>15611</CharactersWithSpaces>
  <Paragraphs>236</Paragraphs>
  <Company>Microsoft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2026-04-29T07:12:00Z</dcterms:created>
  <dc:creator>Быстров Олег Геннадьевич</dc:creator>
  <dc:description/>
  <dc:language>ru-RU</dc:language>
  <cp:lastModifiedBy>murinatv@corp.gidroogk.com</cp:lastModifiedBy>
  <cp:lastPrinted>2023-10-19T01:41:00Z</cp:lastPrinted>
  <dcterms:modified xsi:type="dcterms:W3CDTF">2026-07-31T11:12:46Z</dcterms:modified>
  <cp:revision>65</cp:revision>
  <dc:subject/>
  <dc:title>Российское открытое акционерное общество энергетики и электрификации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1</vt:bool>
  </property>
</Properties>
</file>